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32"/>
        </w:rPr>
      </w:pPr>
      <w:r>
        <w:rPr>
          <w:sz w:val="32"/>
        </w:rPr>
        <w:t>Appendix 1</w:t>
      </w:r>
    </w:p>
    <w:p>
      <w:pPr>
        <w:pStyle w:val="Normal"/>
        <w:jc w:val="center"/>
        <w:rPr>
          <w:b/>
          <w:sz w:val="32"/>
        </w:rPr>
      </w:pPr>
      <w:r>
        <w:rPr>
          <w:b/>
          <w:sz w:val="32"/>
        </w:rPr>
        <w:t>Description of the software</w:t>
      </w:r>
    </w:p>
    <w:p>
      <w:pPr>
        <w:pStyle w:val="Heading1"/>
        <w:ind w:hanging="0" w:start="0"/>
        <w:rPr>
          <w:b w:val="false"/>
          <w:sz w:val="32"/>
        </w:rPr>
      </w:pPr>
      <w:r>
        <w:rPr>
          <w:b w:val="false"/>
          <w:sz w:val="32"/>
        </w:rPr>
      </w:r>
    </w:p>
    <w:p>
      <w:pPr>
        <w:pStyle w:val="Heading1"/>
        <w:ind w:hanging="0" w:start="0"/>
        <w:rPr/>
      </w:pPr>
      <w:r>
        <w:rPr/>
        <w:t>I- Description of the application entity</w:t>
      </w:r>
    </w:p>
    <w:p>
      <w:pPr>
        <w:pStyle w:val="Normal"/>
        <w:jc w:val="both"/>
        <w:rPr>
          <w:sz w:val="24"/>
        </w:rPr>
      </w:pPr>
      <w:r>
        <w:rPr>
          <w:sz w:val="24"/>
        </w:rPr>
      </w:r>
    </w:p>
    <w:p>
      <w:pPr>
        <w:pStyle w:val="Normal"/>
        <w:jc w:val="both"/>
        <w:rPr>
          <w:sz w:val="24"/>
        </w:rPr>
      </w:pPr>
      <w:r>
        <w:rPr>
          <w:sz w:val="24"/>
        </w:rPr>
        <w:t xml:space="preserve">The application entity consists of </w:t>
      </w:r>
    </w:p>
    <w:p>
      <w:pPr>
        <w:pStyle w:val="Normal"/>
        <w:numPr>
          <w:ilvl w:val="0"/>
          <w:numId w:val="3"/>
        </w:numPr>
        <w:jc w:val="both"/>
        <w:rPr>
          <w:sz w:val="24"/>
        </w:rPr>
      </w:pPr>
      <w:r>
        <w:rPr>
          <w:sz w:val="24"/>
        </w:rPr>
        <w:t>DGE dynamically linked library (DLL) coded in C++ and of an API set of methods that can be overridden to interface the application entity with any type of risk management system involving a set of C++ classes that can be overridden (Toolkit).</w:t>
      </w:r>
    </w:p>
    <w:p>
      <w:pPr>
        <w:pStyle w:val="Normal"/>
        <w:numPr>
          <w:ilvl w:val="0"/>
          <w:numId w:val="3"/>
        </w:numPr>
        <w:jc w:val="both"/>
        <w:rPr>
          <w:sz w:val="24"/>
        </w:rPr>
      </w:pPr>
      <w:r>
        <w:rPr>
          <w:sz w:val="24"/>
        </w:rPr>
        <w:t>DGE Microsoft Excel interface into the DGE DLL given as Excel Add-In and Microsoft Visual Basic functions.</w:t>
      </w:r>
    </w:p>
    <w:p>
      <w:pPr>
        <w:pStyle w:val="Normal"/>
        <w:numPr>
          <w:ilvl w:val="0"/>
          <w:numId w:val="3"/>
        </w:numPr>
        <w:jc w:val="both"/>
        <w:rPr>
          <w:sz w:val="24"/>
        </w:rPr>
      </w:pPr>
      <w:r>
        <w:rPr>
          <w:sz w:val="24"/>
        </w:rPr>
        <w:t>DGE Product Management Java System with DGE Graphic Java Interface</w:t>
      </w:r>
    </w:p>
    <w:p>
      <w:pPr>
        <w:pStyle w:val="Normal"/>
        <w:jc w:val="both"/>
        <w:rPr>
          <w:sz w:val="24"/>
        </w:rPr>
      </w:pPr>
      <w:r>
        <w:rPr>
          <w:sz w:val="24"/>
        </w:rPr>
      </w:r>
    </w:p>
    <w:p>
      <w:pPr>
        <w:pStyle w:val="Heading1"/>
        <w:ind w:hanging="0" w:start="0"/>
        <w:rPr/>
      </w:pPr>
      <w:r>
        <w:rPr/>
        <w:t>II- Compatibility of the application entity with the operating system</w:t>
      </w:r>
    </w:p>
    <w:p>
      <w:pPr>
        <w:pStyle w:val="Normal"/>
        <w:jc w:val="both"/>
        <w:rPr>
          <w:sz w:val="24"/>
        </w:rPr>
      </w:pPr>
      <w:r>
        <w:rPr>
          <w:sz w:val="24"/>
        </w:rPr>
      </w:r>
    </w:p>
    <w:p>
      <w:pPr>
        <w:pStyle w:val="Normal"/>
        <w:rPr>
          <w:sz w:val="24"/>
        </w:rPr>
      </w:pPr>
      <w:r>
        <w:rPr>
          <w:sz w:val="24"/>
        </w:rPr>
        <w:t>The application is meant to work on a PC stand-alone under Windows NT operating system.</w:t>
      </w:r>
    </w:p>
    <w:p>
      <w:pPr>
        <w:pStyle w:val="Normal"/>
        <w:rPr>
          <w:sz w:val="24"/>
        </w:rPr>
      </w:pPr>
      <w:r>
        <w:rPr>
          <w:sz w:val="24"/>
        </w:rPr>
        <w:t>(Microsoft Windows NT Version 4.0 Service Pack  5 equipped with Microsoft Office version 97 or version 2000, Professional Edition -MS Access-).</w:t>
      </w:r>
    </w:p>
    <w:p>
      <w:pPr>
        <w:pStyle w:val="Normal"/>
        <w:jc w:val="both"/>
        <w:rPr>
          <w:sz w:val="24"/>
        </w:rPr>
      </w:pPr>
      <w:r>
        <w:rPr>
          <w:sz w:val="24"/>
        </w:rPr>
      </w:r>
    </w:p>
    <w:p>
      <w:pPr>
        <w:pStyle w:val="Heading1"/>
        <w:ind w:hanging="0" w:start="0"/>
        <w:rPr/>
      </w:pPr>
      <w:r>
        <w:rPr/>
        <w:t>III- DG Energy Systems DLL functionality</w:t>
      </w:r>
    </w:p>
    <w:p>
      <w:pPr>
        <w:pStyle w:val="Normal"/>
        <w:jc w:val="both"/>
        <w:rPr>
          <w:sz w:val="24"/>
        </w:rPr>
      </w:pPr>
      <w:r>
        <w:rPr>
          <w:sz w:val="24"/>
        </w:rPr>
      </w:r>
    </w:p>
    <w:p>
      <w:pPr>
        <w:pStyle w:val="Corpsdetexte2"/>
        <w:rPr/>
      </w:pPr>
      <w:r>
        <w:rPr/>
        <w:t>The DG Energy Systems DLL comprises five distinct modules whose functionality is described below.</w:t>
      </w:r>
    </w:p>
    <w:p>
      <w:pPr>
        <w:pStyle w:val="Normal"/>
        <w:jc w:val="both"/>
        <w:rPr>
          <w:sz w:val="24"/>
        </w:rPr>
      </w:pPr>
      <w:r>
        <w:rPr>
          <w:sz w:val="24"/>
        </w:rPr>
      </w:r>
    </w:p>
    <w:p>
      <w:pPr>
        <w:pStyle w:val="Heading2"/>
        <w:ind w:hanging="0" w:start="0"/>
        <w:rPr>
          <w:sz w:val="24"/>
        </w:rPr>
      </w:pPr>
      <w:r>
        <w:rPr>
          <w:sz w:val="24"/>
        </w:rPr>
        <w:t>Module 1</w:t>
      </w:r>
    </w:p>
    <w:p>
      <w:pPr>
        <w:pStyle w:val="Normal"/>
        <w:jc w:val="both"/>
        <w:rPr>
          <w:sz w:val="24"/>
        </w:rPr>
      </w:pPr>
      <w:r>
        <w:rPr>
          <w:sz w:val="24"/>
        </w:rPr>
      </w:r>
    </w:p>
    <w:p>
      <w:pPr>
        <w:pStyle w:val="Normal"/>
        <w:jc w:val="both"/>
        <w:rPr>
          <w:sz w:val="24"/>
        </w:rPr>
      </w:pPr>
      <w:r>
        <w:rPr>
          <w:sz w:val="24"/>
        </w:rPr>
        <w:t>It reconstructs the modeling of the spot/forward prices thanks to the structure of stochastic processes selected by D-G and using the key information provided by market data (spot and forward prices, volatility of the spot price, term structure of forward volatility).</w:t>
      </w:r>
    </w:p>
    <w:p>
      <w:pPr>
        <w:pStyle w:val="Normal"/>
        <w:rPr>
          <w:sz w:val="24"/>
        </w:rPr>
      </w:pPr>
      <w:r>
        <w:rPr>
          <w:sz w:val="24"/>
        </w:rPr>
      </w:r>
    </w:p>
    <w:p>
      <w:pPr>
        <w:pStyle w:val="Heading2"/>
        <w:ind w:hanging="0" w:start="0"/>
        <w:rPr>
          <w:sz w:val="24"/>
        </w:rPr>
      </w:pPr>
      <w:r>
        <w:rPr>
          <w:sz w:val="24"/>
        </w:rPr>
        <w:t>Module 2: Plain Vanilla, Futures, Swaps and Forward-Start Options</w:t>
      </w:r>
    </w:p>
    <w:p>
      <w:pPr>
        <w:pStyle w:val="Normal"/>
        <w:jc w:val="both"/>
        <w:rPr>
          <w:sz w:val="24"/>
        </w:rPr>
      </w:pPr>
      <w:r>
        <w:rPr>
          <w:sz w:val="24"/>
        </w:rPr>
      </w:r>
    </w:p>
    <w:p>
      <w:pPr>
        <w:pStyle w:val="Normal"/>
        <w:numPr>
          <w:ilvl w:val="0"/>
          <w:numId w:val="2"/>
        </w:numPr>
        <w:jc w:val="both"/>
        <w:rPr>
          <w:sz w:val="24"/>
        </w:rPr>
      </w:pPr>
      <w:r>
        <w:rPr>
          <w:sz w:val="24"/>
        </w:rPr>
        <w:t>provides the prices of Futures, swaps and plain vanilla options together with the delta with respect to the spot price, the delta-forwards (particularly important in the case of energy derivatives) and the other relevant Greeks (Gamma, Rho, Theta, Vega)</w:t>
      </w:r>
    </w:p>
    <w:p>
      <w:pPr>
        <w:pStyle w:val="Normal"/>
        <w:jc w:val="both"/>
        <w:rPr>
          <w:sz w:val="24"/>
        </w:rPr>
      </w:pPr>
      <w:r>
        <w:rPr>
          <w:sz w:val="24"/>
        </w:rPr>
      </w:r>
    </w:p>
    <w:p>
      <w:pPr>
        <w:pStyle w:val="Normal"/>
        <w:jc w:val="both"/>
        <w:rPr>
          <w:sz w:val="24"/>
        </w:rPr>
      </w:pPr>
      <w:r>
        <w:rPr>
          <w:sz w:val="24"/>
        </w:rPr>
        <w:t xml:space="preserve">The specific case of Forward-Start options is explicitly treated. </w:t>
      </w:r>
    </w:p>
    <w:p>
      <w:pPr>
        <w:pStyle w:val="Normal"/>
        <w:jc w:val="both"/>
        <w:rPr>
          <w:sz w:val="24"/>
        </w:rPr>
      </w:pPr>
      <w:r>
        <w:rPr>
          <w:sz w:val="24"/>
        </w:rPr>
      </w:r>
    </w:p>
    <w:p>
      <w:pPr>
        <w:pStyle w:val="Normal"/>
        <w:jc w:val="both"/>
        <w:rPr>
          <w:sz w:val="24"/>
        </w:rPr>
      </w:pPr>
      <w:r>
        <w:rPr>
          <w:sz w:val="24"/>
        </w:rPr>
        <w:t>b) derives the implied volatility from the market price of a plain vanilla put or call option if these market prices are available for a series of options on the same underlying with different strikes, the software reconstructs the “volatility smile”. In the same manner, a volatility surface at the date of analysis can be obtained through a class of options with different strikes and with different maturity.</w:t>
      </w:r>
    </w:p>
    <w:p>
      <w:pPr>
        <w:pStyle w:val="Normal"/>
        <w:jc w:val="both"/>
        <w:rPr>
          <w:sz w:val="24"/>
        </w:rPr>
      </w:pPr>
      <w:r>
        <w:rPr>
          <w:sz w:val="24"/>
        </w:rPr>
      </w:r>
    </w:p>
    <w:p>
      <w:pPr>
        <w:pStyle w:val="Heading2"/>
        <w:ind w:hanging="0" w:start="0"/>
        <w:rPr>
          <w:sz w:val="24"/>
        </w:rPr>
      </w:pPr>
      <w:r>
        <w:rPr>
          <w:sz w:val="24"/>
        </w:rPr>
        <w:t>Module 3: Asian Options, Caps, Floors and Swaptions</w:t>
      </w:r>
    </w:p>
    <w:p>
      <w:pPr>
        <w:pStyle w:val="Normal"/>
        <w:jc w:val="both"/>
        <w:rPr>
          <w:sz w:val="24"/>
        </w:rPr>
      </w:pPr>
      <w:r>
        <w:rPr>
          <w:sz w:val="24"/>
        </w:rPr>
        <w:t xml:space="preserve"> </w:t>
      </w:r>
    </w:p>
    <w:p>
      <w:pPr>
        <w:pStyle w:val="Normal"/>
        <w:numPr>
          <w:ilvl w:val="0"/>
          <w:numId w:val="4"/>
        </w:numPr>
        <w:jc w:val="both"/>
        <w:rPr>
          <w:sz w:val="24"/>
        </w:rPr>
      </w:pPr>
      <w:r>
        <w:rPr>
          <w:sz w:val="24"/>
        </w:rPr>
        <w:t>gives the prices and sensitivities of average options, with fixed or floating strike and using an “exact” approach based on the unique expertise of the authors on the subject,</w:t>
      </w:r>
    </w:p>
    <w:p>
      <w:pPr>
        <w:pStyle w:val="Normal"/>
        <w:jc w:val="both"/>
        <w:rPr>
          <w:sz w:val="24"/>
        </w:rPr>
      </w:pPr>
      <w:r>
        <w:rPr>
          <w:sz w:val="24"/>
        </w:rPr>
      </w:r>
    </w:p>
    <w:p>
      <w:pPr>
        <w:pStyle w:val="Normal"/>
        <w:numPr>
          <w:ilvl w:val="0"/>
          <w:numId w:val="4"/>
        </w:numPr>
        <w:jc w:val="both"/>
        <w:rPr>
          <w:sz w:val="24"/>
        </w:rPr>
      </w:pPr>
      <w:r>
        <w:rPr>
          <w:sz w:val="24"/>
        </w:rPr>
        <w:t>gives the prices and sensitivities of caps, floors and swaptions, through a methodology, which captures the mathematical properties developed in a).</w:t>
      </w:r>
    </w:p>
    <w:p>
      <w:pPr>
        <w:pStyle w:val="Normal"/>
        <w:jc w:val="both"/>
        <w:rPr>
          <w:sz w:val="24"/>
        </w:rPr>
      </w:pPr>
      <w:r>
        <w:rPr>
          <w:sz w:val="24"/>
        </w:rPr>
      </w:r>
    </w:p>
    <w:p>
      <w:pPr>
        <w:pStyle w:val="Heading2"/>
        <w:ind w:hanging="0" w:start="0"/>
        <w:rPr>
          <w:sz w:val="24"/>
        </w:rPr>
      </w:pPr>
      <w:r>
        <w:rPr>
          <w:sz w:val="24"/>
        </w:rPr>
      </w:r>
    </w:p>
    <w:p>
      <w:pPr>
        <w:pStyle w:val="Heading2"/>
        <w:ind w:hanging="0" w:start="0"/>
        <w:rPr>
          <w:sz w:val="24"/>
        </w:rPr>
      </w:pPr>
      <w:r>
        <w:rPr>
          <w:sz w:val="24"/>
        </w:rPr>
      </w:r>
    </w:p>
    <w:p>
      <w:pPr>
        <w:pStyle w:val="Heading2"/>
        <w:ind w:hanging="0" w:start="0"/>
        <w:rPr>
          <w:sz w:val="24"/>
        </w:rPr>
      </w:pPr>
      <w:r>
        <w:rPr>
          <w:sz w:val="24"/>
        </w:rPr>
        <w:t>Module 4: Exchange, Spread and “Best-Of” options</w:t>
      </w:r>
    </w:p>
    <w:p>
      <w:pPr>
        <w:pStyle w:val="Normal"/>
        <w:jc w:val="both"/>
        <w:rPr>
          <w:sz w:val="24"/>
        </w:rPr>
      </w:pPr>
      <w:r>
        <w:rPr>
          <w:sz w:val="24"/>
        </w:rPr>
      </w:r>
    </w:p>
    <w:p>
      <w:pPr>
        <w:pStyle w:val="Normal"/>
        <w:jc w:val="both"/>
        <w:rPr/>
      </w:pPr>
      <w:r>
        <w:rPr>
          <w:sz w:val="24"/>
        </w:rPr>
        <w:t xml:space="preserve">Provides the prices of exchange options, spread options, “best-of” as well as the sensitivities described above and related to the different underlying. Note that the module 1 allows to incorporate the dynamics of </w:t>
      </w:r>
      <w:r>
        <w:rPr>
          <w:b/>
          <w:i/>
          <w:sz w:val="24"/>
        </w:rPr>
        <w:t>several</w:t>
      </w:r>
      <w:r>
        <w:rPr>
          <w:sz w:val="24"/>
        </w:rPr>
        <w:t xml:space="preserve"> underlying instruments, with their term structures of volatility and correlation.</w:t>
      </w:r>
    </w:p>
    <w:p>
      <w:pPr>
        <w:pStyle w:val="Normal"/>
        <w:jc w:val="both"/>
        <w:rPr>
          <w:sz w:val="24"/>
        </w:rPr>
      </w:pPr>
      <w:r>
        <w:rPr>
          <w:sz w:val="24"/>
        </w:rPr>
      </w:r>
    </w:p>
    <w:p>
      <w:pPr>
        <w:pStyle w:val="Heading2"/>
        <w:ind w:hanging="0" w:start="0"/>
        <w:rPr>
          <w:sz w:val="24"/>
        </w:rPr>
      </w:pPr>
      <w:r>
        <w:rPr>
          <w:sz w:val="24"/>
        </w:rPr>
        <w:t>Module 5: American, Bermudan and Swing Options</w:t>
      </w:r>
    </w:p>
    <w:p>
      <w:pPr>
        <w:pStyle w:val="Normal"/>
        <w:jc w:val="both"/>
        <w:rPr>
          <w:sz w:val="24"/>
        </w:rPr>
      </w:pPr>
      <w:r>
        <w:rPr>
          <w:sz w:val="24"/>
        </w:rPr>
      </w:r>
    </w:p>
    <w:p>
      <w:pPr>
        <w:pStyle w:val="Normal"/>
        <w:jc w:val="both"/>
        <w:rPr/>
      </w:pPr>
      <w:r>
        <w:rPr>
          <w:sz w:val="24"/>
        </w:rPr>
        <w:t xml:space="preserve">Provides the prices and sensitivities of different types of swing options at any date during the lifetime of the contract. The software flags, once the new market inputs in terms of market data have been incorporated, whether to exercise as well as the quantity to recall on that day. Note that the delta-forwards allow the buyer and the seller to design their </w:t>
      </w:r>
      <w:r>
        <w:rPr>
          <w:b/>
          <w:i/>
          <w:sz w:val="24"/>
        </w:rPr>
        <w:t>hedging portfolios</w:t>
      </w:r>
      <w:r>
        <w:rPr>
          <w:sz w:val="24"/>
        </w:rPr>
        <w:t xml:space="preserve">. </w:t>
      </w:r>
    </w:p>
    <w:p>
      <w:pPr>
        <w:pStyle w:val="Normal"/>
        <w:jc w:val="both"/>
        <w:rPr>
          <w:sz w:val="24"/>
        </w:rPr>
      </w:pPr>
      <w:r>
        <w:rPr>
          <w:sz w:val="24"/>
        </w:rPr>
      </w:r>
    </w:p>
    <w:p>
      <w:pPr>
        <w:pStyle w:val="Normal"/>
        <w:jc w:val="both"/>
        <w:rPr>
          <w:sz w:val="24"/>
        </w:rPr>
      </w:pPr>
      <w:r>
        <w:rPr>
          <w:sz w:val="24"/>
        </w:rPr>
        <w:t>For an easier use of the software, the “discrete” swing options where the flexibility resides only in the choice of the days (hours) of recalls are treated separately from the “continuous” swing options where one has the choice of the dates and the quantities.</w:t>
      </w:r>
    </w:p>
    <w:p>
      <w:pPr>
        <w:pStyle w:val="Normal"/>
        <w:jc w:val="both"/>
        <w:rPr>
          <w:sz w:val="24"/>
        </w:rPr>
      </w:pPr>
      <w:r>
        <w:rPr>
          <w:sz w:val="24"/>
        </w:rPr>
      </w:r>
    </w:p>
    <w:p>
      <w:pPr>
        <w:pStyle w:val="Normal"/>
        <w:jc w:val="both"/>
        <w:rPr>
          <w:sz w:val="24"/>
        </w:rPr>
      </w:pPr>
      <w:r>
        <w:rPr>
          <w:sz w:val="24"/>
        </w:rPr>
        <w:t>The American option is obtained as a particular case of the “discrete” swing option.</w:t>
      </w:r>
    </w:p>
    <w:p>
      <w:pPr>
        <w:pStyle w:val="Normal"/>
        <w:jc w:val="both"/>
        <w:rPr>
          <w:sz w:val="24"/>
        </w:rPr>
      </w:pPr>
      <w:r>
        <w:rPr>
          <w:sz w:val="24"/>
        </w:rPr>
      </w:r>
    </w:p>
    <w:p>
      <w:pPr>
        <w:pStyle w:val="Normal"/>
        <w:jc w:val="both"/>
        <w:rPr>
          <w:sz w:val="24"/>
        </w:rPr>
      </w:pPr>
      <w:r>
        <w:rPr>
          <w:sz w:val="24"/>
        </w:rPr>
        <w:t>The Bermudan option price and sensitivities computation has been explicitly built in the software.</w:t>
      </w:r>
    </w:p>
    <w:p>
      <w:pPr>
        <w:pStyle w:val="Normal"/>
        <w:jc w:val="both"/>
        <w:rPr>
          <w:sz w:val="24"/>
        </w:rPr>
      </w:pPr>
      <w:r>
        <w:rPr>
          <w:sz w:val="24"/>
        </w:rPr>
      </w:r>
    </w:p>
    <w:p>
      <w:pPr>
        <w:pStyle w:val="Heading2"/>
        <w:ind w:hanging="0" w:start="0"/>
        <w:rPr>
          <w:sz w:val="24"/>
        </w:rPr>
      </w:pPr>
      <w:r>
        <w:rPr>
          <w:sz w:val="24"/>
        </w:rPr>
        <w:t xml:space="preserve">Module 6: </w:t>
      </w:r>
    </w:p>
    <w:p>
      <w:pPr>
        <w:pStyle w:val="Normal"/>
        <w:jc w:val="both"/>
        <w:rPr>
          <w:sz w:val="24"/>
        </w:rPr>
      </w:pPr>
      <w:r>
        <w:rPr>
          <w:sz w:val="24"/>
        </w:rPr>
        <w:t xml:space="preserve">  </w:t>
      </w:r>
    </w:p>
    <w:p>
      <w:pPr>
        <w:pStyle w:val="BodyText"/>
        <w:rPr>
          <w:sz w:val="24"/>
        </w:rPr>
      </w:pPr>
      <w:r>
        <w:rPr>
          <w:sz w:val="24"/>
        </w:rPr>
        <w:t>Provides the computations of Value-at-Risk on the basis of historical simulations and stress testing (worst case analysis). This module offers the user the possibility of defining his (her) own identification of market sources of risk (“state variables”).</w:t>
      </w:r>
    </w:p>
    <w:p>
      <w:pPr>
        <w:pStyle w:val="Normal"/>
        <w:jc w:val="both"/>
        <w:rPr>
          <w:sz w:val="24"/>
        </w:rPr>
      </w:pPr>
      <w:r>
        <w:rPr>
          <w:sz w:val="24"/>
        </w:rPr>
      </w:r>
    </w:p>
    <w:p>
      <w:pPr>
        <w:pStyle w:val="Normal"/>
        <w:jc w:val="both"/>
        <w:rPr>
          <w:sz w:val="24"/>
        </w:rPr>
      </w:pPr>
      <w:r>
        <w:rPr>
          <w:sz w:val="24"/>
        </w:rPr>
      </w:r>
    </w:p>
    <w:p>
      <w:pPr>
        <w:pStyle w:val="Heading1"/>
        <w:ind w:hanging="0" w:start="0"/>
        <w:rPr/>
      </w:pPr>
      <w:r>
        <w:rPr/>
        <w:t>IV- DG Energy Systems API tools functionality</w:t>
      </w:r>
    </w:p>
    <w:p>
      <w:pPr>
        <w:pStyle w:val="Normal"/>
        <w:jc w:val="both"/>
        <w:rPr>
          <w:sz w:val="24"/>
        </w:rPr>
      </w:pPr>
      <w:r>
        <w:rPr>
          <w:sz w:val="24"/>
        </w:rPr>
      </w:r>
    </w:p>
    <w:p>
      <w:pPr>
        <w:pStyle w:val="Normal"/>
        <w:jc w:val="both"/>
        <w:rPr>
          <w:sz w:val="24"/>
        </w:rPr>
      </w:pPr>
      <w:r>
        <w:rPr>
          <w:sz w:val="24"/>
        </w:rPr>
        <w:t xml:space="preserve">The DG Energy Systems API tools is a comprehensive set of C++ functions which gives to the end user’s risk management system the prices and quantities computed by DG Energy Systems, the hedging parameters and  P&amp;Ls.  </w:t>
      </w:r>
    </w:p>
    <w:p>
      <w:pPr>
        <w:pStyle w:val="Normal"/>
        <w:jc w:val="both"/>
        <w:rPr>
          <w:sz w:val="24"/>
        </w:rPr>
      </w:pPr>
      <w:r>
        <w:rPr>
          <w:sz w:val="24"/>
        </w:rPr>
      </w:r>
    </w:p>
    <w:p>
      <w:pPr>
        <w:pStyle w:val="Heading1"/>
        <w:ind w:hanging="0" w:start="0"/>
        <w:rPr/>
      </w:pPr>
      <w:r>
        <w:rPr/>
        <w:t>V- DG Energy Systems DLL documentation</w:t>
      </w:r>
    </w:p>
    <w:p>
      <w:pPr>
        <w:pStyle w:val="Normal"/>
        <w:jc w:val="both"/>
        <w:rPr>
          <w:sz w:val="24"/>
        </w:rPr>
      </w:pPr>
      <w:r>
        <w:rPr>
          <w:sz w:val="24"/>
        </w:rPr>
      </w:r>
    </w:p>
    <w:p>
      <w:pPr>
        <w:pStyle w:val="Normal"/>
        <w:jc w:val="both"/>
        <w:rPr>
          <w:sz w:val="24"/>
        </w:rPr>
      </w:pPr>
      <w:r>
        <w:rPr>
          <w:sz w:val="24"/>
        </w:rPr>
        <w:t>An end user’s manual is provided to illuminate the modeling and valuation involved in the computation of plain vanilla and exotic options or portfolios.</w:t>
      </w:r>
    </w:p>
    <w:p>
      <w:pPr>
        <w:pStyle w:val="Normal"/>
        <w:jc w:val="both"/>
        <w:rPr>
          <w:sz w:val="24"/>
        </w:rPr>
      </w:pPr>
      <w:r>
        <w:rPr>
          <w:sz w:val="24"/>
        </w:rPr>
        <w:t xml:space="preserve"> </w:t>
      </w:r>
    </w:p>
    <w:p>
      <w:pPr>
        <w:pStyle w:val="Heading1"/>
        <w:ind w:hanging="0" w:start="0"/>
        <w:rPr/>
      </w:pPr>
      <w:r>
        <w:rPr/>
        <w:t>VI- DG Energy Systems API tools documentation</w:t>
      </w:r>
    </w:p>
    <w:p>
      <w:pPr>
        <w:pStyle w:val="Normal"/>
        <w:jc w:val="both"/>
        <w:rPr>
          <w:sz w:val="24"/>
        </w:rPr>
      </w:pPr>
      <w:r>
        <w:rPr>
          <w:sz w:val="24"/>
        </w:rPr>
      </w:r>
    </w:p>
    <w:p>
      <w:pPr>
        <w:pStyle w:val="Normal"/>
        <w:jc w:val="both"/>
        <w:rPr>
          <w:sz w:val="24"/>
        </w:rPr>
      </w:pPr>
      <w:r>
        <w:rPr>
          <w:sz w:val="24"/>
        </w:rPr>
        <w:t>A comprehensive documentation of the API tools is provided. This technical documentation consists of the list of header files of C++ functions that can be overridden, the UML hierarchical chart of the API interface, the UML dynamical process chart of the API process from/to the end user’s risk management system and a presentation of the API tools written in Word format.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1"/>
        <w:ind w:hanging="0" w:start="0"/>
        <w:jc w:val="center"/>
        <w:rPr>
          <w:sz w:val="32"/>
        </w:rPr>
      </w:pPr>
      <w:r>
        <w:rPr>
          <w:sz w:val="32"/>
        </w:rPr>
        <w:t>Appendix 2</w:t>
      </w:r>
    </w:p>
    <w:p>
      <w:pPr>
        <w:pStyle w:val="Normal"/>
        <w:rPr>
          <w:sz w:val="32"/>
        </w:rPr>
      </w:pPr>
      <w:r>
        <w:rPr>
          <w:sz w:val="32"/>
        </w:rPr>
      </w:r>
    </w:p>
    <w:p>
      <w:pPr>
        <w:pStyle w:val="Normal"/>
        <w:jc w:val="center"/>
        <w:rPr>
          <w:b/>
          <w:sz w:val="28"/>
        </w:rPr>
      </w:pPr>
      <w:r>
        <w:rPr>
          <w:b/>
          <w:sz w:val="28"/>
        </w:rPr>
        <w:t>Number of sites and workstations</w:t>
      </w:r>
    </w:p>
    <w:p>
      <w:pPr>
        <w:pStyle w:val="Normal"/>
        <w:jc w:val="both"/>
        <w:rPr>
          <w:sz w:val="24"/>
        </w:rPr>
      </w:pP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8"/>
      <w:lang w:val="en-US"/>
    </w:rPr>
  </w:style>
  <w:style w:type="paragraph" w:styleId="Heading2">
    <w:name w:val="heading 2"/>
    <w:basedOn w:val="Normal"/>
    <w:next w:val="Normal"/>
    <w:qFormat/>
    <w:pPr>
      <w:keepNext w:val="true"/>
      <w:numPr>
        <w:ilvl w:val="1"/>
        <w:numId w:val="1"/>
      </w:numPr>
      <w:jc w:val="both"/>
      <w:outlineLvl w:val="1"/>
    </w:pPr>
    <w:rPr>
      <w:b/>
      <w:sz w:val="28"/>
      <w:u w:val="single"/>
      <w:lang w:val="en-GB"/>
    </w:rPr>
  </w:style>
  <w:style w:type="paragraph" w:styleId="Heading3">
    <w:name w:val="heading 3"/>
    <w:basedOn w:val="Normal"/>
    <w:next w:val="Normal"/>
    <w:qFormat/>
    <w:pPr>
      <w:keepNext w:val="true"/>
      <w:numPr>
        <w:ilvl w:val="2"/>
        <w:numId w:val="1"/>
      </w:numPr>
      <w:jc w:val="center"/>
      <w:outlineLvl w:val="2"/>
    </w:pPr>
    <w:rPr>
      <w:b/>
      <w:sz w:val="32"/>
      <w:lang w:val="en-US"/>
    </w:rPr>
  </w:style>
  <w:style w:type="paragraph" w:styleId="Heading4">
    <w:name w:val="heading 4"/>
    <w:basedOn w:val="Normal"/>
    <w:next w:val="Normal"/>
    <w:qFormat/>
    <w:pPr>
      <w:keepNext w:val="true"/>
      <w:numPr>
        <w:ilvl w:val="3"/>
        <w:numId w:val="1"/>
      </w:numPr>
      <w:jc w:val="both"/>
      <w:outlineLvl w:val="3"/>
    </w:pPr>
    <w:rPr>
      <w:sz w:val="24"/>
      <w:lang w:val="en-US"/>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Policepardfaut">
    <w:name w:val="Police par défau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8"/>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rpsdetexte2">
    <w:name w:val="Corps de texte 2"/>
    <w:basedOn w:val="Normal"/>
    <w:qFormat/>
    <w:pPr>
      <w:jc w:val="both"/>
    </w:pPr>
    <w:rPr>
      <w:sz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2000-03-18T07:45:00Z</dcterms:created>
  <dc:creator>Pre-installed User</dc:creator>
  <dc:description/>
  <dc:language>en-CA</dc:language>
  <cp:lastModifiedBy>Pre-installed User</cp:lastModifiedBy>
  <cp:lastPrinted>2000-03-07T10:44:00Z</cp:lastPrinted>
  <dcterms:modified xsi:type="dcterms:W3CDTF">2000-03-18T07:45:00Z</dcterms:modified>
  <cp:revision>2</cp:revision>
  <dc:subject/>
  <dc:title>Appendix 1</dc:title>
</cp:coreProperties>
</file>