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6070" w:type="dxa"/>
        <w:jc w:val="start"/>
        <w:tblInd w:w="-548" w:type="dxa"/>
        <w:tblLayout w:type="fixed"/>
        <w:tblCellMar>
          <w:top w:w="0" w:type="dxa"/>
          <w:start w:w="0" w:type="dxa"/>
          <w:bottom w:w="0" w:type="dxa"/>
          <w:end w:w="0" w:type="dxa"/>
        </w:tblCellMar>
      </w:tblPr>
      <w:tblGrid>
        <w:gridCol w:w="540"/>
        <w:gridCol w:w="5530"/>
      </w:tblGrid>
      <w:tr>
        <w:trPr>
          <w:trHeight w:val="400" w:hRule="atLeast"/>
        </w:trPr>
        <w:tc>
          <w:tcPr>
            <w:tcW w:w="540" w:type="dxa"/>
            <w:tcBorders/>
          </w:tcPr>
          <w:p>
            <w:pPr>
              <w:pStyle w:val="Prompts"/>
              <w:autoSpaceDE w:val="false"/>
              <w:spacing w:before="60" w:after="0"/>
              <w:rPr/>
            </w:pPr>
            <w:r>
              <w:rPr/>
              <w:t>To</w:t>
            </w:r>
          </w:p>
        </w:tc>
        <w:tc>
          <w:tcPr>
            <w:tcW w:w="5530" w:type="dxa"/>
            <w:tcBorders/>
          </w:tcPr>
          <w:p>
            <w:pPr>
              <w:pStyle w:val="Text"/>
              <w:rPr/>
            </w:pPr>
            <w:bookmarkStart w:id="0" w:name="bmkTableTo"/>
            <w:r>
              <w:rPr/>
              <w:t>Officers and Department Heads – Corporation</w:t>
            </w:r>
            <w:bookmarkEnd w:id="0"/>
          </w:p>
          <w:p>
            <w:pPr>
              <w:pStyle w:val="Text"/>
              <w:rPr/>
            </w:pPr>
            <w:r>
              <w:rPr/>
              <w:t>Heads of Operating Companies</w:t>
            </w:r>
          </w:p>
          <w:p>
            <w:pPr>
              <w:pStyle w:val="Text"/>
              <w:rPr/>
            </w:pPr>
            <w:r>
              <w:rPr/>
            </w:r>
          </w:p>
        </w:tc>
      </w:tr>
      <w:tr>
        <w:trPr>
          <w:trHeight w:val="400" w:hRule="atLeast"/>
        </w:trPr>
        <w:tc>
          <w:tcPr>
            <w:tcW w:w="540" w:type="dxa"/>
            <w:tcBorders/>
          </w:tcPr>
          <w:p>
            <w:pPr>
              <w:pStyle w:val="Prompts"/>
              <w:autoSpaceDE w:val="false"/>
              <w:spacing w:before="60" w:after="0"/>
              <w:rPr/>
            </w:pPr>
            <w:r>
              <w:rPr/>
              <w:t>From</w:t>
            </w:r>
          </w:p>
        </w:tc>
        <w:tc>
          <w:tcPr>
            <w:tcW w:w="5530" w:type="dxa"/>
            <w:tcBorders/>
          </w:tcPr>
          <w:p>
            <w:pPr>
              <w:pStyle w:val="Text"/>
              <w:rPr/>
            </w:pPr>
            <w:r>
              <w:rPr/>
              <w:t>Greg Matiuk and Scott Taylor</w:t>
            </w:r>
          </w:p>
        </w:tc>
      </w:tr>
      <w:tr>
        <w:trPr>
          <w:trHeight w:val="400" w:hRule="atLeast"/>
        </w:trPr>
        <w:tc>
          <w:tcPr>
            <w:tcW w:w="540" w:type="dxa"/>
            <w:tcBorders/>
          </w:tcPr>
          <w:p>
            <w:pPr>
              <w:pStyle w:val="Prompts"/>
              <w:autoSpaceDE w:val="false"/>
              <w:spacing w:before="60" w:after="0"/>
              <w:rPr/>
            </w:pPr>
            <w:r>
              <w:rPr/>
              <w:t>Date</w:t>
            </w:r>
          </w:p>
        </w:tc>
        <w:tc>
          <w:tcPr>
            <w:tcW w:w="5530" w:type="dxa"/>
            <w:tcBorders/>
          </w:tcPr>
          <w:p>
            <w:pPr>
              <w:pStyle w:val="Text"/>
              <w:rPr/>
            </w:pPr>
            <w:r>
              <w:rPr/>
              <w:t>October 12, 2001</w:t>
            </w:r>
          </w:p>
        </w:tc>
      </w:tr>
      <w:tr>
        <w:trPr>
          <w:trHeight w:val="400" w:hRule="atLeast"/>
        </w:trPr>
        <w:tc>
          <w:tcPr>
            <w:tcW w:w="540" w:type="dxa"/>
            <w:tcBorders/>
          </w:tcPr>
          <w:p>
            <w:pPr>
              <w:pStyle w:val="Prompts"/>
              <w:autoSpaceDE w:val="false"/>
              <w:spacing w:before="60" w:after="0"/>
              <w:rPr/>
            </w:pPr>
            <w:r>
              <w:rPr/>
              <w:t>Re</w:t>
            </w:r>
          </w:p>
        </w:tc>
        <w:tc>
          <w:tcPr>
            <w:tcW w:w="5530" w:type="dxa"/>
            <w:tcBorders/>
          </w:tcPr>
          <w:p>
            <w:pPr>
              <w:pStyle w:val="Text"/>
              <w:rPr/>
            </w:pPr>
            <w:bookmarkStart w:id="1" w:name="bmkTableSubject"/>
            <w:r>
              <w:rPr/>
              <w:t>Anthrax Security Advisory</w:t>
            </w:r>
            <w:bookmarkEnd w:id="1"/>
          </w:p>
        </w:tc>
      </w:tr>
    </w:tbl>
    <w:p>
      <w:pPr>
        <w:pStyle w:val="Normal"/>
        <w:autoSpaceDE w:val="false"/>
        <w:rPr>
          <w:rFonts w:ascii="TimesNewRomanPS" w:hAnsi="TimesNewRomanPS" w:cs="TimesNewRomanPS"/>
          <w:sz w:val="22"/>
        </w:rPr>
      </w:pPr>
      <w:r>
        <w:rPr>
          <w:rFonts w:cs="TimesNewRomanPS" w:ascii="TimesNewRomanPS" w:hAnsi="TimesNewRomanPS"/>
          <w:sz w:val="22"/>
        </w:rPr>
      </w:r>
    </w:p>
    <w:p>
      <w:pPr>
        <w:pStyle w:val="Text"/>
        <w:rPr>
          <w:rFonts w:ascii="TimesNewRomanPS" w:hAnsi="TimesNewRomanPS" w:cs="TimesNewRomanPS"/>
          <w:sz w:val="22"/>
        </w:rPr>
      </w:pPr>
      <w:r>
        <w:rPr>
          <w:rFonts w:cs="TimesNewRomanPS" w:ascii="TimesNewRomanPS" w:hAnsi="TimesNewRomanPS"/>
          <w:sz w:val="22"/>
        </w:rPr>
      </w:r>
    </w:p>
    <w:p>
      <w:pPr>
        <w:pStyle w:val="Text"/>
        <w:rPr>
          <w:rFonts w:ascii="TimesNewRomanPS" w:hAnsi="TimesNewRomanPS" w:cs="TimesNewRomanPS"/>
        </w:rPr>
      </w:pPr>
      <w:r>
        <w:rPr>
          <w:rFonts w:cs="TimesNewRomanPS" w:ascii="TimesNewRomanPS" w:hAnsi="TimesNewRomanPS"/>
        </w:rPr>
        <w:t>The recent terrorist threats and confirmed cases of exposure to anthrax have caused an increase in employee anxiety over the possibility of chemical and biological attacks.  The following information is provided for identifying suspect packages and actions that should be taken in the unlikely event it is suspected exposure to anthrax may have occurred.</w:t>
      </w:r>
    </w:p>
    <w:p>
      <w:pPr>
        <w:pStyle w:val="Text"/>
        <w:rPr>
          <w:rFonts w:ascii="TimesNewRomanPS" w:hAnsi="TimesNewRomanPS" w:cs="TimesNewRomanPS"/>
        </w:rPr>
      </w:pPr>
      <w:r>
        <w:rPr>
          <w:rFonts w:cs="TimesNewRomanPS" w:ascii="TimesNewRomanPS" w:hAnsi="TimesNewRomanPS"/>
        </w:rPr>
      </w:r>
    </w:p>
    <w:p>
      <w:pPr>
        <w:pStyle w:val="Text"/>
        <w:rPr/>
      </w:pPr>
      <w:r>
        <w:rPr>
          <w:rFonts w:cs="TimesNewRomanPS" w:ascii="TimesNewRomanPS" w:hAnsi="TimesNewRomanPS"/>
          <w:i/>
        </w:rPr>
        <w:t>Background</w:t>
      </w:r>
      <w:r>
        <w:rPr>
          <w:rFonts w:cs="TimesNewRomanPS" w:ascii="TimesNewRomanPS" w:hAnsi="TimesNewRomanPS"/>
        </w:rPr>
        <w:t xml:space="preserve"> – Effective dispersal of anthrax is difficult due to the fact that the bacteria cannot survive exposure to ultraviolet light or direct moisture.  The preferred method of delivery is through letters or packages opened by unsuspecting personnel.  Anthrax delivered in this matter most often resembles a white, dry, fine, powdery substance.</w:t>
      </w:r>
    </w:p>
    <w:p>
      <w:pPr>
        <w:pStyle w:val="Text"/>
        <w:rPr>
          <w:rFonts w:ascii="TimesNewRomanPS" w:hAnsi="TimesNewRomanPS" w:cs="TimesNewRomanPS"/>
        </w:rPr>
      </w:pPr>
      <w:r>
        <w:rPr>
          <w:rFonts w:cs="TimesNewRomanPS" w:ascii="TimesNewRomanPS" w:hAnsi="TimesNewRomanPS"/>
        </w:rPr>
      </w:r>
    </w:p>
    <w:p>
      <w:pPr>
        <w:pStyle w:val="Text"/>
        <w:rPr/>
      </w:pPr>
      <w:r>
        <w:rPr>
          <w:rFonts w:cs="TimesNewRomanPS" w:ascii="TimesNewRomanPS" w:hAnsi="TimesNewRomanPS"/>
          <w:i/>
        </w:rPr>
        <w:t>Identifying Suspect Packages</w:t>
      </w:r>
      <w:r>
        <w:rPr>
          <w:rFonts w:cs="TimesNewRomanPS" w:ascii="TimesNewRomanPS" w:hAnsi="TimesNewRomanPS"/>
        </w:rPr>
        <w:t xml:space="preserve"> – Similar to the procedures for suspected explosive devices, staff should pay attention to the appearance, wrapping, addressing, postage, or any other irregularities of the package.  Was the package expected?  Do you know the sender?  If not and you feel the item is “suspect,” then contact your supervisor and appropriate security personnel for further action.</w:t>
      </w:r>
    </w:p>
    <w:p>
      <w:pPr>
        <w:pStyle w:val="Text"/>
        <w:rPr>
          <w:rFonts w:ascii="TimesNewRomanPS" w:hAnsi="TimesNewRomanPS" w:cs="TimesNewRomanPS"/>
        </w:rPr>
      </w:pPr>
      <w:r>
        <w:rPr>
          <w:rFonts w:cs="TimesNewRomanPS" w:ascii="TimesNewRomanPS" w:hAnsi="TimesNewRomanPS"/>
        </w:rPr>
      </w:r>
    </w:p>
    <w:p>
      <w:pPr>
        <w:pStyle w:val="Text"/>
        <w:rPr>
          <w:rFonts w:ascii="TimesNewRomanPS" w:hAnsi="TimesNewRomanPS" w:cs="TimesNewRomanPS"/>
        </w:rPr>
      </w:pPr>
      <w:r>
        <w:rPr>
          <w:rFonts w:cs="TimesNewRomanPS" w:ascii="TimesNewRomanPS" w:hAnsi="TimesNewRomanPS"/>
        </w:rPr>
        <w:t>If you open a package and encounter an unidentified substance – do not panic.</w:t>
      </w:r>
    </w:p>
    <w:p>
      <w:pPr>
        <w:pStyle w:val="Text"/>
        <w:rPr>
          <w:rFonts w:ascii="TimesNewRomanPS" w:hAnsi="TimesNewRomanPS" w:cs="TimesNewRomanPS"/>
        </w:rPr>
      </w:pPr>
      <w:r>
        <w:rPr>
          <w:rFonts w:cs="TimesNewRomanPS" w:ascii="TimesNewRomanPS" w:hAnsi="TimesNewRomanPS"/>
        </w:rPr>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Do not touch, smell, taste, or try to analyze the substance.</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Carefully place the item on your desk and step away.</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Alert others to keep away from the area.</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Remain in the immediate area to minimize the spread of contamination.</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Notify local medical authorities and law enforcement (e.g., in the US 911)</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Turn off any circulating fans, air conditioners, or heaters.</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Do not attempt to wash off or disperse the agent.</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Wait for trained medical and decontamination personnel to arrive.</w:t>
      </w:r>
    </w:p>
    <w:p>
      <w:pPr>
        <w:pStyle w:val="Text"/>
        <w:numPr>
          <w:ilvl w:val="0"/>
          <w:numId w:val="1"/>
        </w:numPr>
        <w:tabs>
          <w:tab w:val="left" w:pos="720" w:leader="none"/>
        </w:tabs>
        <w:ind w:hanging="360" w:start="720" w:end="0"/>
        <w:rPr>
          <w:rFonts w:ascii="TimesNewRomanPS" w:hAnsi="TimesNewRomanPS" w:cs="TimesNewRomanPS"/>
        </w:rPr>
      </w:pPr>
      <w:r>
        <w:rPr>
          <w:rFonts w:cs="TimesNewRomanPS" w:ascii="TimesNewRomanPS" w:hAnsi="TimesNewRomanPS"/>
        </w:rPr>
        <w:t>Inform Global Security, through the Security Control Center at 925-842-7778, of the situation, regardless of your location.</w:t>
      </w:r>
    </w:p>
    <w:p>
      <w:pPr>
        <w:pStyle w:val="Text"/>
        <w:rPr>
          <w:rFonts w:ascii="TimesNewRomanPS" w:hAnsi="TimesNewRomanPS" w:cs="TimesNewRomanPS"/>
        </w:rPr>
      </w:pPr>
      <w:r>
        <w:rPr>
          <w:rFonts w:cs="TimesNewRomanPS" w:ascii="TimesNewRomanPS" w:hAnsi="TimesNewRomanPS"/>
        </w:rPr>
      </w:r>
    </w:p>
    <w:p>
      <w:pPr>
        <w:pStyle w:val="Text"/>
        <w:rPr>
          <w:rFonts w:ascii="TimesNewRomanPS" w:hAnsi="TimesNewRomanPS" w:cs="TimesNewRomanPS"/>
        </w:rPr>
      </w:pPr>
      <w:r>
        <w:rPr>
          <w:rFonts w:cs="TimesNewRomanPS" w:ascii="TimesNewRomanPS" w:hAnsi="TimesNewRomanPS"/>
        </w:rPr>
      </w:r>
    </w:p>
    <w:p>
      <w:pPr>
        <w:pStyle w:val="Text"/>
        <w:rPr>
          <w:rFonts w:ascii="TimesNewRomanPS" w:hAnsi="TimesNewRomanPS" w:cs="TimesNewRomanPS"/>
        </w:rPr>
      </w:pPr>
      <w:bookmarkStart w:id="2" w:name="bmkEnc"/>
      <w:bookmarkEnd w:id="2"/>
      <w:r>
        <w:rPr>
          <w:rFonts w:cs="TimesNewRomanPS" w:ascii="TimesNewRomanPS" w:hAnsi="TimesNewRomanPS"/>
        </w:rPr>
        <w:t>Employees should note that anthrax spores infect only if inhaled, ingested, or introduced into an open wound or the eyes.  Even if exposure does occur, the victim is not contagious and the condition is treatable with antibiotics if identified early.</w:t>
      </w:r>
    </w:p>
    <w:sectPr>
      <w:headerReference w:type="default" r:id="rId2"/>
      <w:headerReference w:type="first" r:id="rId3"/>
      <w:footerReference w:type="default" r:id="rId4"/>
      <w:footerReference w:type="first" r:id="rId5"/>
      <w:type w:val="nextPage"/>
      <w:pgSz w:w="12240" w:h="15840"/>
      <w:pgMar w:left="1800" w:right="144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imesNewRomanPS">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
      <w:rPr/>
    </w:pPr>
    <w:bookmarkStart w:id="3" w:name="bmkHeaderPrimaryDate"/>
    <w:r>
      <w:rPr/>
      <w:t>October 12, 2001</w:t>
    </w:r>
    <w:bookmarkEnd w:id="3"/>
  </w:p>
  <w:p>
    <w:pPr>
      <w:pStyle w:val="Text"/>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lang w:val="en-CA"/>
      </w:rPr>
    </w:pPr>
    <w:r>
      <w:rPr>
        <w:lang w:val="en-CA"/>
      </w:rPr>
      <w:drawing>
        <wp:anchor behindDoc="1" distT="0" distB="0" distL="114935" distR="114935" simplePos="0" locked="0" layoutInCell="1" allowOverlap="1" relativeHeight="4">
          <wp:simplePos x="0" y="0"/>
          <wp:positionH relativeFrom="column">
            <wp:posOffset>3465195</wp:posOffset>
          </wp:positionH>
          <wp:positionV relativeFrom="page">
            <wp:posOffset>1564640</wp:posOffset>
          </wp:positionV>
          <wp:extent cx="1943100" cy="219075"/>
          <wp:effectExtent l="0" t="0" r="0" b="0"/>
          <wp:wrapNone/>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19" t="-167" r="-19" b="-167"/>
                  <a:stretch>
                    <a:fillRect/>
                  </a:stretch>
                </pic:blipFill>
                <pic:spPr bwMode="auto">
                  <a:xfrm>
                    <a:off x="0" y="0"/>
                    <a:ext cx="1943100" cy="219075"/>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lang w:val="en-CA"/>
      </w:rPr>
    </w:pPr>
    <w:r>
      <w:rPr>
        <w:lang w:val="en-CA"/>
      </w:rPr>
      <w:drawing>
        <wp:anchor behindDoc="1" distT="0" distB="0" distL="114935" distR="114935" simplePos="0" locked="0" layoutInCell="1" allowOverlap="1" relativeHeight="3">
          <wp:simplePos x="0" y="0"/>
          <wp:positionH relativeFrom="column">
            <wp:posOffset>-17145</wp:posOffset>
          </wp:positionH>
          <wp:positionV relativeFrom="page">
            <wp:posOffset>1587500</wp:posOffset>
          </wp:positionV>
          <wp:extent cx="1457325" cy="19050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5" t="-189" r="-25" b="-189"/>
                  <a:stretch>
                    <a:fillRect/>
                  </a:stretch>
                </pic:blipFill>
                <pic:spPr bwMode="auto">
                  <a:xfrm>
                    <a:off x="0" y="0"/>
                    <a:ext cx="1457325" cy="190500"/>
                  </a:xfrm>
                  <a:prstGeom prst="rect">
                    <a:avLst/>
                  </a:prstGeom>
                  <a:noFill/>
                </pic:spPr>
              </pic:pic>
            </a:graphicData>
          </a:graphic>
        </wp:anchor>
      </w:drawing>
    </w:r>
  </w:p>
  <w:p>
    <w:pPr>
      <w:pStyle w:val="Header"/>
      <w:rPr/>
    </w:pPr>
    <w:r>
      <w:rPr/>
    </w:r>
  </w:p>
  <w:p>
    <w:pPr>
      <w:pStyle w:val="Header"/>
      <w:rPr/>
    </w:pPr>
    <w:r>
      <w:rPr/>
    </w:r>
  </w:p>
  <w:p>
    <w:pPr>
      <w:pStyle w:val="Header"/>
      <w:rPr>
        <w:sz w:val="18"/>
        <w:lang w:val="en-CA"/>
      </w:rPr>
    </w:pPr>
    <w:r>
      <w:rPr>
        <w:sz w:val="18"/>
        <w:lang w:val="en-CA"/>
      </w:rPr>
      <w:drawing>
        <wp:anchor behindDoc="1" distT="0" distB="0" distL="114935" distR="114935" simplePos="0" locked="0" layoutInCell="1" allowOverlap="1" relativeHeight="2">
          <wp:simplePos x="0" y="0"/>
          <wp:positionH relativeFrom="column">
            <wp:posOffset>3465195</wp:posOffset>
          </wp:positionH>
          <wp:positionV relativeFrom="page">
            <wp:posOffset>1564640</wp:posOffset>
          </wp:positionV>
          <wp:extent cx="1943100" cy="219075"/>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9" t="-167" r="-19" b="-167"/>
                  <a:stretch>
                    <a:fillRect/>
                  </a:stretch>
                </pic:blipFill>
                <pic:spPr bwMode="auto">
                  <a:xfrm>
                    <a:off x="0" y="0"/>
                    <a:ext cx="1943100" cy="2190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ext">
    <w:name w:val="_Text"/>
    <w:basedOn w:val="Normal"/>
    <w:qFormat/>
    <w:pPr>
      <w:spacing w:lineRule="exact" w:line="260"/>
    </w:pPr>
    <w:rPr>
      <w:sz w:val="22"/>
    </w:rPr>
  </w:style>
  <w:style w:type="paragraph" w:styleId="Address">
    <w:name w:val="_Address"/>
    <w:basedOn w:val="Normal"/>
    <w:qFormat/>
    <w:pPr>
      <w:spacing w:lineRule="exact" w:line="200"/>
    </w:pPr>
    <w:rPr>
      <w:sz w:val="17"/>
    </w:rPr>
  </w:style>
  <w:style w:type="paragraph" w:styleId="Footer">
    <w:name w:val="footer"/>
    <w:basedOn w:val="Normal"/>
    <w:pPr>
      <w:tabs>
        <w:tab w:val="clear" w:pos="720"/>
        <w:tab w:val="center" w:pos="4320" w:leader="none"/>
        <w:tab w:val="right" w:pos="8640" w:leader="none"/>
      </w:tabs>
    </w:pPr>
    <w:rPr/>
  </w:style>
  <w:style w:type="paragraph" w:styleId="CompanyName">
    <w:name w:val="_Company Name"/>
    <w:basedOn w:val="Address"/>
    <w:qFormat/>
    <w:pPr/>
    <w:rPr>
      <w:b/>
      <w:bCs/>
    </w:rPr>
  </w:style>
  <w:style w:type="paragraph" w:styleId="Prompts">
    <w:name w:val="_Prompts"/>
    <w:basedOn w:val="Normal"/>
    <w:qFormat/>
    <w:pPr>
      <w:autoSpaceDE w:val="false"/>
      <w:spacing w:before="60" w:after="0"/>
    </w:pPr>
    <w:rPr>
      <w:rFonts w:ascii="TimesNewRomanPS" w:hAnsi="TimesNewRomanPS" w:cs="TimesNewRomanPS"/>
      <w:sz w:val="16"/>
      <w:szCs w:val="22"/>
    </w:rPr>
  </w:style>
  <w:style w:type="paragraph" w:styleId="FaxLegal">
    <w:name w:val="_Fax_Legal"/>
    <w:basedOn w:val="Normal"/>
    <w:qFormat/>
    <w:pPr>
      <w:autoSpaceDE w:val="false"/>
      <w:spacing w:lineRule="exact" w:line="190"/>
    </w:pPr>
    <w:rPr>
      <w:sz w:val="15"/>
      <w:szCs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CHX_memo_US</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2001-10-19T16:05:00Z</dcterms:created>
  <dc:creator>Gil</dc:creator>
  <dc:description>ChevronTexaco Corporate Memorandum Template for Microsoft Word 97/2000 -- US-standard paper size</dc:description>
  <dc:language>en-CA</dc:language>
  <cp:lastModifiedBy>ENRON</cp:lastModifiedBy>
  <cp:lastPrinted>2001-10-12T13:13:00Z</cp:lastPrinted>
  <dcterms:modified xsi:type="dcterms:W3CDTF">2001-10-19T16:05:00Z</dcterms:modified>
  <cp:revision>2</cp:revision>
  <dc:subject/>
  <dc:title>CHX_memo_us</dc:title>
</cp:coreProperties>
</file>