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rPr/>
      </w:pPr>
      <w:r>
        <w:rPr>
          <w:b/>
        </w:rPr>
        <w:t>PRIVILEGED AND CONFIDENTIAL: ATTORNEY WORK PRODUCT</w:t>
      </w:r>
      <w:r>
        <w:rPr/>
        <w:t xml:space="preserve">  </w:t>
        <w:tab/>
        <w:tab/>
        <w:tab/>
        <w:tab/>
        <w:tab/>
        <w:tab/>
        <w:tab/>
      </w:r>
      <w:r>
        <mc:AlternateContent>
          <mc:Choice Requires="wps">
            <w:drawing>
              <wp:anchor behindDoc="0" distT="0" distB="0" distL="0" distR="0" simplePos="0" locked="0" layoutInCell="0" allowOverlap="1" relativeHeight="2">
                <wp:simplePos x="0" y="0"/>
                <wp:positionH relativeFrom="margin">
                  <wp:posOffset>635</wp:posOffset>
                </wp:positionH>
                <wp:positionV relativeFrom="page">
                  <wp:posOffset>457835</wp:posOffset>
                </wp:positionV>
                <wp:extent cx="5943600" cy="93980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939800"/>
                        </a:xfrm>
                        <a:prstGeom prst="rect"/>
                        <a:solidFill>
                          <a:srgbClr val="FFFFFF">
                            <a:alpha val="0"/>
                          </a:srgbClr>
                        </a:solidFill>
                      </wps:spPr>
                      <wps:txbx>
                        <w:txbxContent>
                          <w:p>
                            <w:pPr>
                              <w:pStyle w:val="Normal"/>
                              <w:tabs>
                                <w:tab w:val="clear" w:pos="720"/>
                                <w:tab w:val="center" w:pos="4680" w:leader="none"/>
                              </w:tabs>
                              <w:rPr>
                                <w:rFonts w:ascii="Univers" w:hAnsi="Univers" w:cs="Univers"/>
                                <w:sz w:val="32"/>
                              </w:rPr>
                            </w:pPr>
                            <w:r>
                              <w:rPr>
                                <w:rFonts w:cs="Univers" w:ascii="Univers" w:hAnsi="Univers"/>
                                <w:sz w:val="32"/>
                              </w:rPr>
                              <w:tab/>
                            </w:r>
                            <w:r>
                              <w:rPr>
                                <w:rFonts w:cs="Univers" w:ascii="Univers" w:hAnsi="Univers"/>
                                <w:smallCaps/>
                                <w:sz w:val="32"/>
                              </w:rPr>
                              <w:t>LeBoeuf, Lamb, Greene &amp; MacRae</w:t>
                            </w:r>
                          </w:p>
                          <w:p>
                            <w:pPr>
                              <w:pStyle w:val="Normal"/>
                              <w:tabs>
                                <w:tab w:val="clear" w:pos="720"/>
                                <w:tab w:val="center" w:pos="4680" w:leader="none"/>
                              </w:tabs>
                              <w:rPr/>
                            </w:pPr>
                            <w:r>
                              <w:rPr>
                                <w:rFonts w:cs="Univers" w:ascii="Univers" w:hAnsi="Univers"/>
                                <w:sz w:val="32"/>
                              </w:rPr>
                              <w:tab/>
                            </w:r>
                            <w:r>
                              <w:rPr>
                                <w:rFonts w:cs="Univers" w:ascii="Univers" w:hAnsi="Univers"/>
                              </w:rPr>
                              <w:t>L.L.P.</w:t>
                            </w:r>
                          </w:p>
                          <w:p>
                            <w:pPr>
                              <w:pStyle w:val="Normal"/>
                              <w:tabs>
                                <w:tab w:val="clear" w:pos="720"/>
                                <w:tab w:val="center" w:pos="4680" w:leader="none"/>
                              </w:tabs>
                              <w:rPr/>
                            </w:pPr>
                            <w:r>
                              <w:rPr>
                                <w:rFonts w:cs="Univers" w:ascii="Univers" w:hAnsi="Univers"/>
                              </w:rPr>
                              <w:tab/>
                            </w:r>
                            <w:r>
                              <w:rPr>
                                <w:rFonts w:cs="Univers" w:ascii="Univers" w:hAnsi="Univers"/>
                                <w:sz w:val="12"/>
                              </w:rPr>
                              <w:t>A LIMITED LIABILITY PARTNERSHIP INCLUDING PROFESSIONAL CORPORATIONS</w:t>
                            </w:r>
                          </w:p>
                          <w:p>
                            <w:pPr>
                              <w:pStyle w:val="Normal"/>
                              <w:tabs>
                                <w:tab w:val="clear" w:pos="720"/>
                                <w:tab w:val="center" w:pos="4680" w:leader="none"/>
                              </w:tabs>
                              <w:rPr>
                                <w:rFonts w:ascii="Univers" w:hAnsi="Univers" w:cs="Univers"/>
                                <w:sz w:val="20"/>
                              </w:rPr>
                            </w:pPr>
                            <w:r>
                              <w:fldChar w:fldCharType="begin"/>
                            </w:r>
                            <w:r>
                              <w:rPr>
                                <w:sz w:val="12"/>
                                <w:rFonts w:cs="Univers" w:ascii="Univers" w:hAnsi="Univers"/>
                              </w:rPr>
                              <w:instrText xml:space="preserve">ADVANCE \d10</w:instrText>
                            </w:r>
                            <w:r>
                              <w:rPr>
                                <w:rFonts w:cs="Univers" w:ascii="Univers" w:hAnsi="Univers"/>
                                <w:sz w:val="12"/>
                              </w:rPr>
                            </w:r>
                            <w:r>
                              <w:rPr>
                                <w:sz w:val="12"/>
                                <w:rFonts w:cs="Univers" w:ascii="Univers" w:hAnsi="Univers"/>
                              </w:rPr>
                              <w:fldChar w:fldCharType="separate"/>
                            </w:r>
                            <w:r>
                              <w:rPr>
                                <w:rFonts w:cs="Univers" w:ascii="Univers" w:hAnsi="Univers"/>
                                <w:sz w:val="12"/>
                              </w:rPr>
                            </w:r>
                            <w:r>
                              <w:rPr>
                                <w:rFonts w:cs="Univers" w:ascii="Univers" w:hAnsi="Univers"/>
                                <w:sz w:val="12"/>
                              </w:rPr>
                            </w:r>
                            <w:r>
                              <w:rPr>
                                <w:sz w:val="12"/>
                                <w:rFonts w:cs="Univers" w:ascii="Univers" w:hAnsi="Univers"/>
                              </w:rPr>
                              <w:fldChar w:fldCharType="end"/>
                            </w:r>
                            <w:r>
                              <w:rPr>
                                <w:rFonts w:cs="Univers" w:ascii="Univers" w:hAnsi="Univers"/>
                                <w:sz w:val="20"/>
                              </w:rPr>
                              <w:tab/>
                              <w:t xml:space="preserve">125 </w:t>
                            </w:r>
                            <w:r>
                              <w:rPr>
                                <w:rFonts w:cs="Univers" w:ascii="Univers" w:hAnsi="Univers"/>
                                <w:smallCaps/>
                                <w:sz w:val="20"/>
                              </w:rPr>
                              <w:t>West 55th Street</w:t>
                            </w:r>
                          </w:p>
                          <w:p>
                            <w:pPr>
                              <w:pStyle w:val="Normal"/>
                              <w:tabs>
                                <w:tab w:val="clear" w:pos="720"/>
                                <w:tab w:val="center" w:pos="4680" w:leader="none"/>
                              </w:tabs>
                              <w:rPr>
                                <w:rFonts w:ascii="Univers" w:hAnsi="Univers" w:cs="Univers"/>
                                <w:sz w:val="20"/>
                              </w:rPr>
                            </w:pPr>
                            <w:r>
                              <w:fldChar w:fldCharType="begin"/>
                            </w:r>
                            <w:r>
                              <w:rPr>
                                <w:sz w:val="20"/>
                                <w:rFonts w:cs="Univers" w:ascii="Univers" w:hAnsi="Univers"/>
                              </w:rPr>
                              <w:instrText xml:space="preserve">ADVANCE \d4</w:instrText>
                            </w:r>
                            <w:r>
                              <w:rPr>
                                <w:rFonts w:cs="Univers" w:ascii="Univers" w:hAnsi="Univers"/>
                                <w:sz w:val="20"/>
                              </w:rPr>
                            </w:r>
                            <w:r>
                              <w:rPr>
                                <w:sz w:val="20"/>
                                <w:rFonts w:cs="Univers" w:ascii="Univers" w:hAnsi="Univers"/>
                              </w:rPr>
                              <w:fldChar w:fldCharType="separate"/>
                            </w:r>
                            <w:r>
                              <w:rPr>
                                <w:rFonts w:cs="Univers" w:ascii="Univers" w:hAnsi="Univers"/>
                                <w:sz w:val="20"/>
                              </w:rPr>
                            </w:r>
                            <w:r>
                              <w:rPr>
                                <w:rFonts w:cs="Univers" w:ascii="Univers" w:hAnsi="Univers"/>
                                <w:sz w:val="20"/>
                              </w:rPr>
                            </w:r>
                            <w:r>
                              <w:rPr>
                                <w:sz w:val="20"/>
                                <w:rFonts w:cs="Univers" w:ascii="Univers" w:hAnsi="Univers"/>
                              </w:rPr>
                              <w:fldChar w:fldCharType="end"/>
                            </w:r>
                            <w:r>
                              <w:rPr>
                                <w:rFonts w:cs="Univers" w:ascii="Univers" w:hAnsi="Univers"/>
                                <w:sz w:val="20"/>
                              </w:rPr>
                              <w:tab/>
                            </w:r>
                            <w:r>
                              <w:rPr>
                                <w:rFonts w:cs="Univers" w:ascii="Univers" w:hAnsi="Univers"/>
                                <w:smallCaps/>
                                <w:sz w:val="20"/>
                              </w:rPr>
                              <w:t>New York, NY 10019-5389</w:t>
                            </w:r>
                          </w:p>
                          <w:p>
                            <w:pPr>
                              <w:pStyle w:val="Normal"/>
                              <w:rPr>
                                <w:rFonts w:ascii="Courier" w:hAnsi="Courier" w:cs="Courier"/>
                                <w:sz w:val="20"/>
                              </w:rPr>
                            </w:pPr>
                            <w:r>
                              <w:rPr>
                                <w:rFonts w:cs="Courier" w:ascii="Courier" w:hAnsi="Courier"/>
                                <w:sz w:val="20"/>
                              </w:rPr>
                            </w:r>
                          </w:p>
                        </w:txbxContent>
                      </wps:txbx>
                      <wps:bodyPr anchor="t" lIns="0" tIns="0" rIns="0" bIns="0">
                        <a:noAutofit/>
                      </wps:bodyPr>
                    </wps:wsp>
                  </a:graphicData>
                </a:graphic>
              </wp:anchor>
            </w:drawing>
          </mc:Choice>
          <mc:Fallback>
            <w:pict>
              <v:rect fillcolor="#FFFFFF" style="position:absolute;rotation:-0;width:468pt;height:74pt;mso-wrap-distance-left:0pt;mso-wrap-distance-right:0pt;mso-wrap-distance-top:0pt;mso-wrap-distance-bottom:0pt;margin-top:36.05pt;mso-position-vertical-relative:page;margin-left:0.05pt;mso-position-horizontal-relative:margin">
                <v:fill opacity="0f"/>
                <v:textbox inset="0in,0in,0in,0in">
                  <w:txbxContent>
                    <w:p>
                      <w:pPr>
                        <w:pStyle w:val="Normal"/>
                        <w:tabs>
                          <w:tab w:val="clear" w:pos="720"/>
                          <w:tab w:val="center" w:pos="4680" w:leader="none"/>
                        </w:tabs>
                        <w:rPr>
                          <w:rFonts w:ascii="Univers" w:hAnsi="Univers" w:cs="Univers"/>
                          <w:sz w:val="32"/>
                        </w:rPr>
                      </w:pPr>
                      <w:r>
                        <w:rPr>
                          <w:rFonts w:cs="Univers" w:ascii="Univers" w:hAnsi="Univers"/>
                          <w:sz w:val="32"/>
                        </w:rPr>
                        <w:tab/>
                      </w:r>
                      <w:r>
                        <w:rPr>
                          <w:rFonts w:cs="Univers" w:ascii="Univers" w:hAnsi="Univers"/>
                          <w:smallCaps/>
                          <w:sz w:val="32"/>
                        </w:rPr>
                        <w:t>LeBoeuf, Lamb, Greene &amp; MacRae</w:t>
                      </w:r>
                    </w:p>
                    <w:p>
                      <w:pPr>
                        <w:pStyle w:val="Normal"/>
                        <w:tabs>
                          <w:tab w:val="clear" w:pos="720"/>
                          <w:tab w:val="center" w:pos="4680" w:leader="none"/>
                        </w:tabs>
                        <w:rPr/>
                      </w:pPr>
                      <w:r>
                        <w:rPr>
                          <w:rFonts w:cs="Univers" w:ascii="Univers" w:hAnsi="Univers"/>
                          <w:sz w:val="32"/>
                        </w:rPr>
                        <w:tab/>
                      </w:r>
                      <w:r>
                        <w:rPr>
                          <w:rFonts w:cs="Univers" w:ascii="Univers" w:hAnsi="Univers"/>
                        </w:rPr>
                        <w:t>L.L.P.</w:t>
                      </w:r>
                    </w:p>
                    <w:p>
                      <w:pPr>
                        <w:pStyle w:val="Normal"/>
                        <w:tabs>
                          <w:tab w:val="clear" w:pos="720"/>
                          <w:tab w:val="center" w:pos="4680" w:leader="none"/>
                        </w:tabs>
                        <w:rPr/>
                      </w:pPr>
                      <w:r>
                        <w:rPr>
                          <w:rFonts w:cs="Univers" w:ascii="Univers" w:hAnsi="Univers"/>
                        </w:rPr>
                        <w:tab/>
                      </w:r>
                      <w:r>
                        <w:rPr>
                          <w:rFonts w:cs="Univers" w:ascii="Univers" w:hAnsi="Univers"/>
                          <w:sz w:val="12"/>
                        </w:rPr>
                        <w:t>A LIMITED LIABILITY PARTNERSHIP INCLUDING PROFESSIONAL CORPORATIONS</w:t>
                      </w:r>
                    </w:p>
                    <w:p>
                      <w:pPr>
                        <w:pStyle w:val="Normal"/>
                        <w:tabs>
                          <w:tab w:val="clear" w:pos="720"/>
                          <w:tab w:val="center" w:pos="4680" w:leader="none"/>
                        </w:tabs>
                        <w:rPr>
                          <w:rFonts w:ascii="Univers" w:hAnsi="Univers" w:cs="Univers"/>
                          <w:sz w:val="20"/>
                        </w:rPr>
                      </w:pPr>
                      <w:r>
                        <w:fldChar w:fldCharType="begin"/>
                      </w:r>
                      <w:r>
                        <w:rPr>
                          <w:sz w:val="12"/>
                          <w:rFonts w:cs="Univers" w:ascii="Univers" w:hAnsi="Univers"/>
                        </w:rPr>
                        <w:instrText xml:space="preserve">ADVANCE \d10</w:instrText>
                      </w:r>
                      <w:r>
                        <w:rPr>
                          <w:rFonts w:cs="Univers" w:ascii="Univers" w:hAnsi="Univers"/>
                          <w:sz w:val="12"/>
                        </w:rPr>
                      </w:r>
                      <w:r>
                        <w:rPr>
                          <w:sz w:val="12"/>
                          <w:rFonts w:cs="Univers" w:ascii="Univers" w:hAnsi="Univers"/>
                        </w:rPr>
                        <w:fldChar w:fldCharType="separate"/>
                      </w:r>
                      <w:r>
                        <w:rPr>
                          <w:rFonts w:cs="Univers" w:ascii="Univers" w:hAnsi="Univers"/>
                          <w:sz w:val="12"/>
                        </w:rPr>
                      </w:r>
                      <w:r>
                        <w:rPr>
                          <w:rFonts w:cs="Univers" w:ascii="Univers" w:hAnsi="Univers"/>
                          <w:sz w:val="12"/>
                        </w:rPr>
                      </w:r>
                      <w:r>
                        <w:rPr>
                          <w:sz w:val="12"/>
                          <w:rFonts w:cs="Univers" w:ascii="Univers" w:hAnsi="Univers"/>
                        </w:rPr>
                        <w:fldChar w:fldCharType="end"/>
                      </w:r>
                      <w:r>
                        <w:rPr>
                          <w:rFonts w:cs="Univers" w:ascii="Univers" w:hAnsi="Univers"/>
                          <w:sz w:val="20"/>
                        </w:rPr>
                        <w:tab/>
                        <w:t xml:space="preserve">125 </w:t>
                      </w:r>
                      <w:r>
                        <w:rPr>
                          <w:rFonts w:cs="Univers" w:ascii="Univers" w:hAnsi="Univers"/>
                          <w:smallCaps/>
                          <w:sz w:val="20"/>
                        </w:rPr>
                        <w:t>West 55th Street</w:t>
                      </w:r>
                    </w:p>
                    <w:p>
                      <w:pPr>
                        <w:pStyle w:val="Normal"/>
                        <w:tabs>
                          <w:tab w:val="clear" w:pos="720"/>
                          <w:tab w:val="center" w:pos="4680" w:leader="none"/>
                        </w:tabs>
                        <w:rPr>
                          <w:rFonts w:ascii="Univers" w:hAnsi="Univers" w:cs="Univers"/>
                          <w:sz w:val="20"/>
                        </w:rPr>
                      </w:pPr>
                      <w:r>
                        <w:fldChar w:fldCharType="begin"/>
                      </w:r>
                      <w:r>
                        <w:rPr>
                          <w:sz w:val="20"/>
                          <w:rFonts w:cs="Univers" w:ascii="Univers" w:hAnsi="Univers"/>
                        </w:rPr>
                        <w:instrText xml:space="preserve">ADVANCE \d4</w:instrText>
                      </w:r>
                      <w:r>
                        <w:rPr>
                          <w:rFonts w:cs="Univers" w:ascii="Univers" w:hAnsi="Univers"/>
                          <w:sz w:val="20"/>
                        </w:rPr>
                      </w:r>
                      <w:r>
                        <w:rPr>
                          <w:sz w:val="20"/>
                          <w:rFonts w:cs="Univers" w:ascii="Univers" w:hAnsi="Univers"/>
                        </w:rPr>
                        <w:fldChar w:fldCharType="separate"/>
                      </w:r>
                      <w:r>
                        <w:rPr>
                          <w:rFonts w:cs="Univers" w:ascii="Univers" w:hAnsi="Univers"/>
                          <w:sz w:val="20"/>
                        </w:rPr>
                      </w:r>
                      <w:r>
                        <w:rPr>
                          <w:rFonts w:cs="Univers" w:ascii="Univers" w:hAnsi="Univers"/>
                          <w:sz w:val="20"/>
                        </w:rPr>
                      </w:r>
                      <w:r>
                        <w:rPr>
                          <w:sz w:val="20"/>
                          <w:rFonts w:cs="Univers" w:ascii="Univers" w:hAnsi="Univers"/>
                        </w:rPr>
                        <w:fldChar w:fldCharType="end"/>
                      </w:r>
                      <w:r>
                        <w:rPr>
                          <w:rFonts w:cs="Univers" w:ascii="Univers" w:hAnsi="Univers"/>
                          <w:sz w:val="20"/>
                        </w:rPr>
                        <w:tab/>
                      </w:r>
                      <w:r>
                        <w:rPr>
                          <w:rFonts w:cs="Univers" w:ascii="Univers" w:hAnsi="Univers"/>
                          <w:smallCaps/>
                          <w:sz w:val="20"/>
                        </w:rPr>
                        <w:t>New York, NY 10019-5389</w:t>
                      </w:r>
                    </w:p>
                    <w:p>
                      <w:pPr>
                        <w:pStyle w:val="Normal"/>
                        <w:rPr>
                          <w:rFonts w:ascii="Courier" w:hAnsi="Courier" w:cs="Courier"/>
                          <w:sz w:val="20"/>
                        </w:rPr>
                      </w:pPr>
                      <w:r>
                        <w:rPr>
                          <w:rFonts w:cs="Courier" w:ascii="Courier" w:hAnsi="Courier"/>
                          <w:sz w:val="20"/>
                        </w:rPr>
                      </w:r>
                    </w:p>
                  </w:txbxContent>
                </v:textbox>
                <w10:wrap type="square"/>
              </v:rect>
            </w:pict>
          </mc:Fallback>
        </mc:AlternateContent>
      </w:r>
    </w:p>
    <w:p>
      <w:pPr>
        <w:pStyle w:val="Normal"/>
        <w:widowControl/>
        <w:ind w:firstLine="5760" w:end="0"/>
        <w:rPr/>
      </w:pPr>
      <w:r>
        <w:rPr/>
        <w:t>June 30, 2000</w:t>
      </w:r>
    </w:p>
    <w:p>
      <w:pPr>
        <w:pStyle w:val="Normal"/>
        <w:widowControl/>
        <w:rPr/>
      </w:pPr>
      <w:r>
        <w:rPr/>
      </w:r>
    </w:p>
    <w:p>
      <w:pPr>
        <w:pStyle w:val="Normal"/>
        <w:widowControl/>
        <w:tabs>
          <w:tab w:val="clear" w:pos="720"/>
          <w:tab w:val="left" w:pos="0" w:leader="none"/>
        </w:tabs>
        <w:ind w:hanging="1440" w:start="1440" w:end="0"/>
        <w:rPr/>
      </w:pPr>
      <w:r>
        <w:rPr>
          <w:rStyle w:val="univers11"/>
        </w:rPr>
        <w:t>TO:</w:t>
      </w:r>
      <w:r>
        <w:rPr/>
        <w:tab/>
        <w:tab/>
        <w:t>Lisa Mellencamp</w:t>
      </w:r>
    </w:p>
    <w:p>
      <w:pPr>
        <w:pStyle w:val="Normal"/>
        <w:widowControl/>
        <w:rPr/>
      </w:pPr>
      <w:r>
        <w:rPr/>
      </w:r>
    </w:p>
    <w:p>
      <w:pPr>
        <w:pStyle w:val="Normal"/>
        <w:widowControl/>
        <w:tabs>
          <w:tab w:val="clear" w:pos="720"/>
          <w:tab w:val="left" w:pos="-1440" w:leader="none"/>
        </w:tabs>
        <w:rPr/>
      </w:pPr>
      <w:r>
        <w:rPr>
          <w:rStyle w:val="univers11"/>
        </w:rPr>
        <w:t>FROM:</w:t>
      </w:r>
      <w:r>
        <w:rPr/>
        <w:tab/>
        <w:t>Steve Levitsky</w:t>
      </w:r>
    </w:p>
    <w:p>
      <w:pPr>
        <w:pStyle w:val="Normal"/>
        <w:widowControl/>
        <w:rPr/>
      </w:pPr>
      <w:r>
        <w:rPr/>
      </w:r>
    </w:p>
    <w:p>
      <w:pPr>
        <w:pStyle w:val="Normal"/>
        <w:widowControl/>
        <w:tabs>
          <w:tab w:val="clear" w:pos="720"/>
          <w:tab w:val="left" w:pos="0" w:leader="none"/>
        </w:tabs>
        <w:ind w:hanging="1440" w:start="1440" w:end="0"/>
        <w:rPr/>
      </w:pPr>
      <w:r>
        <w:rPr>
          <w:rStyle w:val="univers11"/>
        </w:rPr>
        <w:t>RE:</w:t>
      </w:r>
      <w:r>
        <w:rPr/>
        <w:tab/>
        <w:tab/>
      </w:r>
      <w:r>
        <w:rPr>
          <w:u w:val="single"/>
        </w:rPr>
        <w:t>Infineum Complaint: Antitrust Considerations</w:t>
      </w:r>
    </w:p>
    <w:p>
      <w:pPr>
        <w:pStyle w:val="Normal"/>
        <w:widowControl/>
        <w:tabs>
          <w:tab w:val="clear" w:pos="720"/>
          <w:tab w:val="left" w:pos="-1440" w:leader="none"/>
        </w:tabs>
        <w:rPr/>
      </w:pPr>
      <w:r>
        <w:rPr/>
      </w:r>
    </w:p>
    <w:p>
      <w:pPr>
        <w:pStyle w:val="Normal"/>
        <w:widowControl/>
        <w:tabs>
          <w:tab w:val="clear" w:pos="720"/>
          <w:tab w:val="left" w:pos="-1440" w:leader="none"/>
        </w:tabs>
        <w:ind w:firstLine="1440" w:end="0"/>
        <w:jc w:val="both"/>
        <w:rPr/>
      </w:pPr>
      <w:r>
        <w:rPr/>
        <w:t xml:space="preserve">We have reviewed the </w:t>
      </w:r>
      <w:r>
        <w:rPr>
          <w:i/>
        </w:rPr>
        <w:t>Infineum v Cogen Technologies</w:t>
      </w:r>
      <w:r>
        <w:rPr/>
        <w:t xml:space="preserve"> complaint from an antitrust perspective. The complaint, </w:t>
      </w:r>
      <w:r>
        <w:rPr>
          <w:rFonts w:cs="WP TypographicSymbols" w:ascii="WP TypographicSymbols" w:hAnsi="WP TypographicSymbols"/>
        </w:rPr>
        <w:t>&amp;&amp;</w:t>
      </w:r>
      <w:r>
        <w:rPr/>
        <w:t xml:space="preserve"> 25-36, alleges an illegal tying arrangement, both </w:t>
      </w:r>
      <w:r>
        <w:rPr>
          <w:i/>
        </w:rPr>
        <w:t>per se</w:t>
      </w:r>
      <w:r>
        <w:rPr/>
        <w:t xml:space="preserve"> (</w:t>
      </w:r>
      <w:r>
        <w:rPr>
          <w:rFonts w:cs="WP TypographicSymbols" w:ascii="WP TypographicSymbols" w:hAnsi="WP TypographicSymbols"/>
        </w:rPr>
        <w:t>&amp;</w:t>
      </w:r>
      <w:r>
        <w:rPr/>
        <w:t xml:space="preserve"> 40) and rule of reason (</w:t>
      </w:r>
      <w:r>
        <w:rPr>
          <w:rFonts w:cs="WP TypographicSymbols" w:ascii="WP TypographicSymbols" w:hAnsi="WP TypographicSymbols"/>
        </w:rPr>
        <w:t>&amp;</w:t>
      </w:r>
      <w:r>
        <w:rPr/>
        <w:t xml:space="preserve"> 41) violations.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 xml:space="preserve">This is obviously a preliminary analysis, subject to further legal research and factual review.  While the complaint appears to allude to a number of antitrust issues, the bottom line analysis is that its key claim </w:t>
      </w:r>
      <w:r>
        <w:rPr>
          <w:rFonts w:cs="WP TypographicSymbols" w:ascii="WP TypographicSymbols" w:hAnsi="WP TypographicSymbols"/>
        </w:rPr>
        <w:t>C</w:t>
      </w:r>
      <w:r>
        <w:rPr/>
        <w:t xml:space="preserve"> the </w:t>
      </w:r>
      <w:r>
        <w:rPr>
          <w:i/>
        </w:rPr>
        <w:t xml:space="preserve">per se </w:t>
      </w:r>
      <w:r>
        <w:rPr/>
        <w:t xml:space="preserve">tying arrangement </w:t>
      </w:r>
      <w:r>
        <w:rPr>
          <w:rFonts w:cs="WP TypographicSymbols" w:ascii="WP TypographicSymbols" w:hAnsi="WP TypographicSymbols"/>
        </w:rPr>
        <w:t>C</w:t>
      </w:r>
      <w:r>
        <w:rPr/>
        <w:t xml:space="preserve"> is factually deficient because Cogen does not possess economic power in the supply of electricity, the alleged tying product. If Cogen does not have that power, it cannot use it to force BRC to take steam, the allegedly tied product.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The following notes summarize the key issues to be considered.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 xml:space="preserve">A tying arrangement is "an agreement by a party to sell one product but only on the condition that the buyer also purchases a different (or tied) product, or at least agrees that he will not purchase that product from any other supplier." </w:t>
      </w:r>
      <w:r>
        <w:rPr>
          <w:i/>
        </w:rPr>
        <w:t>Eastern Kodak v Image Technical Services</w:t>
      </w:r>
      <w:r>
        <w:rPr/>
        <w:t xml:space="preserve">, 504 U.S. 451, 461 (1992), quoting </w:t>
      </w:r>
      <w:r>
        <w:rPr>
          <w:i/>
        </w:rPr>
        <w:t>Northern Pacific RR. v United States</w:t>
      </w:r>
      <w:r>
        <w:rPr/>
        <w:t xml:space="preserve">, 356 U.S. 1, 5-6 (1958).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 xml:space="preserve">A tying arrangement is </w:t>
      </w:r>
      <w:r>
        <w:rPr>
          <w:i/>
        </w:rPr>
        <w:t xml:space="preserve">per se </w:t>
      </w:r>
      <w:r>
        <w:rPr/>
        <w:t xml:space="preserve">illegal only when the defendant has market power that can "force" a customer into the agreement. </w:t>
      </w:r>
      <w:r>
        <w:rPr>
          <w:i/>
        </w:rPr>
        <w:t>Northwest Wholesale Stationers v Pacific Stationary Technical Services</w:t>
      </w:r>
      <w:r>
        <w:rPr/>
        <w:t xml:space="preserve">, 172 U.S. 284, 296 (1985); </w:t>
      </w:r>
      <w:r>
        <w:rPr>
          <w:i/>
        </w:rPr>
        <w:t>NCAA v Bd. of Regents</w:t>
      </w:r>
      <w:r>
        <w:rPr/>
        <w:t>, 468 U.S. 85, 104, n. 5/19.</w:t>
      </w:r>
    </w:p>
    <w:p>
      <w:pPr>
        <w:pStyle w:val="Normal"/>
        <w:widowControl/>
        <w:tabs>
          <w:tab w:val="clear" w:pos="720"/>
          <w:tab w:val="left" w:pos="-1440" w:leader="none"/>
        </w:tabs>
        <w:jc w:val="both"/>
        <w:rPr/>
      </w:pPr>
      <w:r>
        <w:rPr/>
      </w:r>
    </w:p>
    <w:p>
      <w:pPr>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 xml:space="preserve">An essential element of a </w:t>
      </w:r>
      <w:r>
        <w:rPr>
          <w:i/>
        </w:rPr>
        <w:t>per se</w:t>
      </w:r>
      <w:r>
        <w:rPr/>
        <w:t xml:space="preserve"> tying arrangement is that there is "appreciable economic power in the tying market." </w:t>
      </w:r>
      <w:r>
        <w:rPr>
          <w:i/>
        </w:rPr>
        <w:t>Eastman Kodak</w:t>
      </w:r>
      <w:r>
        <w:rPr/>
        <w:t xml:space="preserve">, 504 U.S. at 461. This basically means "market power," or the power "to </w:t>
      </w:r>
      <w:r>
        <w:rPr>
          <w:i/>
        </w:rPr>
        <w:t>force</w:t>
      </w:r>
      <w:r>
        <w:rPr/>
        <w:t xml:space="preserve"> a purchaser to do something that he would not do in a competitive market." </w:t>
      </w:r>
      <w:r>
        <w:rPr>
          <w:i/>
        </w:rPr>
        <w:t>Jefferson Parish v Hyde</w:t>
      </w:r>
      <w:r>
        <w:rPr/>
        <w:t xml:space="preserve">, 466 U.S. 2,14 (1984). Market power may be shown to exist as a result of a patent or legal monopoly, a high market share, or a unique or highly desirable product. </w:t>
      </w:r>
      <w:r>
        <w:rPr>
          <w:i/>
        </w:rPr>
        <w:t>Jefferson Parish</w:t>
      </w:r>
      <w:r>
        <w:rPr/>
        <w:t>, 466 U.S. at 17.</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 xml:space="preserve">If the plaintiff cannot prove a </w:t>
      </w:r>
      <w:r>
        <w:rPr>
          <w:i/>
        </w:rPr>
        <w:t>per se</w:t>
      </w:r>
      <w:r>
        <w:rPr/>
        <w:t xml:space="preserve"> violation, it must show that the agreement is illegal under the Rule of Reason, which involves an analysis that weighs all the competitive issues. </w:t>
      </w:r>
      <w:r>
        <w:rPr>
          <w:i/>
        </w:rPr>
        <w:t xml:space="preserve">Northwest Stationers, </w:t>
      </w:r>
      <w:r>
        <w:rPr/>
        <w:t xml:space="preserve">472 U.S. at 296. As the Third Circuit recently noted (this lawsuit is in a District Court in the Third Circuit), the plaintiff in a Rule of Reason case carries a "more difficult burden." </w:t>
      </w:r>
      <w:r>
        <w:rPr>
          <w:i/>
        </w:rPr>
        <w:t>Brokerage Concepts v U.S. Healthcare</w:t>
      </w:r>
      <w:r>
        <w:rPr/>
        <w:t>, 140 F.3d 494, 511 (3d Cir. 1998). As a practical matter, very few plaintiffs win rule of reason tying cases, and there is a very substantial economic cost in prosecuting them.</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Applying these principles here, Infineum claims that Cogen has used its power over electricity to force the purchase of steam (</w:t>
      </w:r>
      <w:r>
        <w:rPr>
          <w:rFonts w:cs="WP TypographicSymbols" w:ascii="WP TypographicSymbols" w:hAnsi="WP TypographicSymbols"/>
        </w:rPr>
        <w:t>&amp;</w:t>
      </w:r>
      <w:r>
        <w:rPr/>
        <w:t xml:space="preserve"> 32).</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 xml:space="preserve">However, this theory requires Infineum to prove that Cogen has "appreciable  economic power" in the electric market. Based on the facts we know, this is not true. Cogen sells electricity, but BRC can and currently does buy electricity from PSE&amp;G. Indeed, even after Cogen's inside-the-fence generation facility becomes operational, PSE&amp;G will continue to be the default supplier when Cogen's facilities are shut down. In addition, because there is retail access for electricity in New Jersey, BRC could, if it chose to do so, also buy electricity by contract or in the spot market and have it transmitted.  These facts would appear to establish that there is effective competition in the electric generation market, which should disprove any allegation of "appreciable economic power in the tying market."  Such a finding should result in the dismissal of the </w:t>
      </w:r>
      <w:r>
        <w:rPr>
          <w:i/>
        </w:rPr>
        <w:t>per se</w:t>
      </w:r>
      <w:r>
        <w:rPr/>
        <w:t xml:space="preserve"> claim.</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Since Infineum</w:t>
      </w:r>
      <w:r>
        <w:rPr>
          <w:rFonts w:cs="WP TypographicSymbols" w:ascii="WP TypographicSymbols" w:hAnsi="WP TypographicSymbols"/>
        </w:rPr>
        <w:t>=</w:t>
      </w:r>
      <w:r>
        <w:rPr/>
        <w:t xml:space="preserve">s complaint is based on a theory of economic advantage resulting from low cost, you should be aware of two lines of cases in the tying area. There is a doctrine in tying law that the "economic power" can be inferred from the "uniqueness" or </w:t>
      </w:r>
      <w:r>
        <w:rPr>
          <w:rFonts w:cs="WP TypographicSymbols" w:ascii="WP TypographicSymbols" w:hAnsi="WP TypographicSymbols"/>
        </w:rPr>
        <w:t>A</w:t>
      </w:r>
      <w:r>
        <w:rPr/>
        <w:t>desirability</w:t>
      </w:r>
      <w:r>
        <w:rPr>
          <w:rFonts w:cs="WP TypographicSymbols" w:ascii="WP TypographicSymbols" w:hAnsi="WP TypographicSymbols"/>
        </w:rPr>
        <w:t>@</w:t>
      </w:r>
      <w:r>
        <w:rPr/>
        <w:t xml:space="preserve"> of a product. In </w:t>
      </w:r>
      <w:r>
        <w:rPr>
          <w:i/>
        </w:rPr>
        <w:t>Fortner Enterprises v U.S. Steel</w:t>
      </w:r>
      <w:r>
        <w:rPr/>
        <w:t xml:space="preserve">, 394 U.S. 495 (1969), the Supreme Court affirmed the denial of summary judgment where one of the issues was whether cheap financing of homes by a credit subsidiary was very desirable.  But the court noted that "the uniqueness test in such situations is somewhat confusing since the real source of economic power is not the product itself but rather the seller's cost advantage in producing it." 394 U.S. at 506, n. 2. The ultimate test is whether "seller offers a unique product that competitors are not able to offer." </w:t>
      </w:r>
      <w:r>
        <w:rPr>
          <w:i/>
        </w:rPr>
        <w:t>Jefferson Parish</w:t>
      </w:r>
      <w:r>
        <w:rPr/>
        <w:t>, 466 U.S. at 16. The cases that have applied that theory have focused primarily on the product itself, as in the uniqueness of Kodak copier</w:t>
      </w:r>
      <w:r>
        <w:rPr>
          <w:i/>
        </w:rPr>
        <w:t xml:space="preserve"> </w:t>
      </w:r>
      <w:r>
        <w:rPr/>
        <w:t xml:space="preserve">parts, </w:t>
      </w:r>
      <w:r>
        <w:rPr>
          <w:i/>
        </w:rPr>
        <w:t>Eastman Kodak</w:t>
      </w:r>
      <w:r>
        <w:rPr/>
        <w:t xml:space="preserve">, 504 U.S. 451, or the uniqueness of college football, </w:t>
      </w:r>
      <w:r>
        <w:rPr>
          <w:i/>
        </w:rPr>
        <w:t>NCAA</w:t>
      </w:r>
      <w:r>
        <w:rPr/>
        <w:t>, 468 U.S. 85. Diligence research so far has not identified a case where the low cost of the commodity was the unique element; and electricity is not a unique product.</w:t>
      </w:r>
    </w:p>
    <w:p>
      <w:pPr>
        <w:pStyle w:val="Normal"/>
        <w:widowControl/>
        <w:tabs>
          <w:tab w:val="clear" w:pos="720"/>
          <w:tab w:val="left" w:pos="-1440" w:leader="none"/>
        </w:tabs>
        <w:jc w:val="both"/>
        <w:rPr/>
      </w:pPr>
      <w:r>
        <w:rPr/>
      </w:r>
    </w:p>
    <w:p>
      <w:pPr>
        <w:sectPr>
          <w:type w:val="continuous"/>
          <w:pgSz w:w="12240" w:h="15840"/>
          <w:pgMar w:left="144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 xml:space="preserve">There are also a limited number of cases that have found a tying arrangement where the low price for the tied products makes the choice "the only viable economic option." For example, </w:t>
      </w:r>
      <w:r>
        <w:rPr>
          <w:i/>
        </w:rPr>
        <w:t>Lasatec v Xerox</w:t>
      </w:r>
      <w:r>
        <w:rPr/>
        <w:t xml:space="preserve">, 77 F.3d 1109, 1112 (8th Cir. 1996), </w:t>
      </w:r>
      <w:r>
        <w:rPr>
          <w:i/>
        </w:rPr>
        <w:t>In re Independent Hew. Chgs. Antitrust Litigation,</w:t>
      </w:r>
      <w:r>
        <w:rPr/>
        <w:t xml:space="preserve"> 85 19 Supp. 2d 1130, 1145 (D,Ks 2000), </w:t>
      </w:r>
      <w:r>
        <w:rPr>
          <w:i/>
        </w:rPr>
        <w:t>aff'd on other grounds</w:t>
      </w:r>
      <w:r>
        <w:rPr/>
        <w:t>, 203 F.3d 1322 (Fed. Cir. 2000);</w:t>
      </w:r>
      <w:r>
        <w:rPr>
          <w:i/>
        </w:rPr>
        <w:t xml:space="preserve"> Amerineet v Xerox</w:t>
      </w:r>
      <w:r>
        <w:rPr/>
        <w:t xml:space="preserve">, 972 F.2d 1483, 1500 (8th Cir. 1992); </w:t>
      </w:r>
      <w:r>
        <w:rPr>
          <w:i/>
        </w:rPr>
        <w:t>Ways &amp; Means v IVAC</w:t>
      </w:r>
      <w:r>
        <w:rPr/>
        <w:t xml:space="preserve">, 506 F. Supp. 697, 701 (N.D. Cal. 1979), </w:t>
      </w:r>
      <w:r>
        <w:rPr>
          <w:i/>
        </w:rPr>
        <w:t>aff'd 831 F.2d 537 (4th Cir. 1987), cert. den. 487 U.S. 1226 (1988). Nobel Scientific v Beckman Instrument</w:t>
      </w:r>
      <w:r>
        <w:rPr/>
        <w:t xml:space="preserve">, 610 F. Supp. 1313, 1324 (D. Md. 1986); </w:t>
      </w:r>
      <w:r>
        <w:rPr>
          <w:i/>
        </w:rPr>
        <w:t>Ortho Diagnostics v Abbott</w:t>
      </w:r>
      <w:r>
        <w:rPr/>
        <w:t>, 920 F. Supp. 455 (S.D.N.Y. 1996).  However, these cases appear to be distinguishable. Many of these cases involve service contracts, not a product, where the contracts were overpriced. In addition, in these cases, the "economic" element is used as evidence of the tie itself, not as evidence of economic power in the tying market. For this reason, we do not think that this line of cases would support Infineum's claim.</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w:t>
      </w:r>
      <w:r>
        <w:rPr/>
        <w:tab/>
        <w:t>Infineum also makes some ambiguous allegations regarding "cost-based" pricing (</w:t>
      </w:r>
      <w:r>
        <w:rPr>
          <w:rFonts w:cs="WP TypographicSymbols" w:ascii="WP TypographicSymbols" w:hAnsi="WP TypographicSymbols"/>
        </w:rPr>
        <w:t>&amp;&amp;</w:t>
      </w:r>
      <w:r>
        <w:rPr/>
        <w:t xml:space="preserve"> 25-26). There is no allegation of predatory pricing here. However, if they are attempting to allude to predatory pricing, those allegations are insufficient since an allegation of predatory pricing must be below cost. </w:t>
      </w:r>
      <w:r>
        <w:rPr>
          <w:i/>
        </w:rPr>
        <w:t>Brooke Group v Brown &amp; Williamson,</w:t>
      </w:r>
      <w:r>
        <w:rPr/>
        <w:t xml:space="preserve"> 509 U.S. 209 (1993).  If a firm has priced above its average variable cost, there is a strong presumption of legality. </w:t>
      </w:r>
      <w:r>
        <w:rPr>
          <w:i/>
        </w:rPr>
        <w:t>Concord Boat v Brunswick</w:t>
      </w:r>
      <w:r>
        <w:rPr/>
        <w:t>, 207 F.3d 1039, 1061 (8th Cir. 2000). Furthermore, the Supreme Court has expressed significant concern about the "implausibility of predatory pricing</w:t>
      </w:r>
      <w:r>
        <w:rPr>
          <w:rFonts w:cs="WP TypographicSymbols" w:ascii="WP TypographicSymbols" w:hAnsi="WP TypographicSymbols"/>
        </w:rPr>
        <w:t>@</w:t>
      </w:r>
      <w:r>
        <w:rPr/>
        <w:t xml:space="preserve"> in general. </w:t>
      </w:r>
      <w:r>
        <w:rPr>
          <w:i/>
        </w:rPr>
        <w:t xml:space="preserve"> Brooke Group</w:t>
      </w:r>
      <w:r>
        <w:rPr/>
        <w:t xml:space="preserve">, 509 v.s. at 227. For this reason, we do not believe that </w:t>
      </w:r>
      <w:r>
        <w:rPr>
          <w:rFonts w:cs="WP TypographicSymbols" w:ascii="WP TypographicSymbols" w:hAnsi="WP TypographicSymbols"/>
        </w:rPr>
        <w:t>A</w:t>
      </w:r>
      <w:r>
        <w:rPr/>
        <w:t>cost-based</w:t>
      </w:r>
      <w:r>
        <w:rPr>
          <w:rFonts w:cs="WP TypographicSymbols" w:ascii="WP TypographicSymbols" w:hAnsi="WP TypographicSymbols"/>
        </w:rPr>
        <w:t>@</w:t>
      </w:r>
      <w:r>
        <w:rPr/>
        <w:t xml:space="preserve"> allegations are material to this claim.</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 xml:space="preserve">If you wish to discuss this matter further over the weekend after you have reviewed the complaint, please call to discuss this matter further. If you would like to discuss it over the weekend, please call me at 914-772-5200.  John Klauberg's home number is 203-869-6293. </w:t>
      </w:r>
    </w:p>
    <w:sectPr>
      <w:type w:val="continuous"/>
      <w:pgSz w:w="12240" w:h="15840"/>
      <w:pgMar w:left="1440" w:right="1440" w:gutter="0" w:header="0" w:top="72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 w:name="Univers">
    <w:charset w:val="00" w:characterSet="windows-1252"/>
    <w:family w:val="swiss"/>
    <w:pitch w:val="variable"/>
  </w:font>
  <w:font w:name="Courier">
    <w:altName w:val="Courier New"/>
    <w:charset w:val="00" w:characterSet="windows-1252"/>
    <w:family w:val="moder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480"/>
      <w:rPr/>
    </w:pPr>
    <w:r>
      <w:rPr/>
    </w:r>
  </w:p>
  <w:p>
    <w:pPr>
      <w:pStyle w:val="Normal"/>
      <w:rPr>
        <w:sz w:val="14"/>
      </w:rPr>
    </w:pPr>
    <w:r>
      <w:rPr>
        <w:sz w:val="14"/>
      </w:rPr>
      <w:t>C:\MyFiles\Antitrust Memo.wpd</w:t>
    </w:r>
  </w:p>
  <w:p>
    <w:pPr>
      <w:pStyle w:val="Normal"/>
      <w:rPr/>
    </w:pPr>
    <w:r>
      <w:rPr>
        <w:sz w:val="14"/>
      </w:rPr>
      <w:fldChar w:fldCharType="begin"/>
    </w:r>
    <w:r>
      <w:rPr>
        <w:sz w:val="14"/>
      </w:rPr>
      <w:instrText xml:space="preserve"> DATE \@"M\/d\/yy" </w:instrText>
    </w:r>
    <w:r>
      <w:rPr>
        <w:sz w:val="14"/>
      </w:rPr>
      <w:fldChar w:fldCharType="separate"/>
    </w:r>
    <w:r>
      <w:rPr>
        <w:sz w:val="14"/>
      </w:rPr>
      <w:t>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8:12 AM</w:t>
    </w:r>
    <w:r>
      <w:rPr>
        <w:sz w:val="14"/>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univers11">
    <w:name w:val="univers11"/>
    <w:qFormat/>
    <w:rPr>
      <w:rFonts w:ascii="Verdana" w:hAnsi="Verdana" w:cs="Verdana"/>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2000-06-30T20:27:00Z</dcterms:created>
  <dc:creator>Michael Didriksen</dc:creator>
  <dc:description/>
  <dc:language>en-CA</dc:language>
  <cp:lastModifiedBy>Michael Didriksen</cp:lastModifiedBy>
  <dcterms:modified xsi:type="dcterms:W3CDTF">2000-06-30T20:27:00Z</dcterms:modified>
  <cp:revision>3</cp:revision>
  <dc:subject/>
  <dc:title/>
</cp:coreProperties>
</file>