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widowControl/>
        <w:jc w:val="center"/>
        <w:rPr/>
      </w:pPr>
      <w:r>
        <w:rPr/>
        <w:t>UNITED STATES OF AMERICA</w:t>
      </w:r>
    </w:p>
    <w:p>
      <w:pPr>
        <w:pStyle w:val="Normal"/>
        <w:widowControl/>
        <w:jc w:val="center"/>
        <w:rPr/>
      </w:pPr>
      <w:r>
        <w:rPr/>
        <w:t>U.S. DEPARTMENT OF ENERGY</w:t>
      </w:r>
    </w:p>
    <w:p>
      <w:pPr>
        <w:pStyle w:val="Normal"/>
        <w:widowControl/>
        <w:jc w:val="center"/>
        <w:rPr/>
      </w:pPr>
      <w:r>
        <w:rPr/>
        <w:t>BEFORE THE</w:t>
      </w:r>
    </w:p>
    <w:p>
      <w:pPr>
        <w:pStyle w:val="Normal"/>
        <w:widowControl/>
        <w:jc w:val="center"/>
        <w:rPr/>
      </w:pPr>
      <w:r>
        <w:rPr/>
        <w:t>BONNEVILLE POWER ADMINISTRATION</w:t>
      </w:r>
    </w:p>
    <w:p>
      <w:pPr>
        <w:pStyle w:val="Normal"/>
        <w:widowControl/>
        <w:jc w:val="center"/>
        <w:rPr/>
      </w:pPr>
      <w:r>
        <w:rPr/>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5148"/>
        <w:gridCol w:w="540"/>
        <w:gridCol w:w="3888"/>
      </w:tblGrid>
      <w:tr>
        <w:trPr/>
        <w:tc>
          <w:tcPr>
            <w:tcW w:w="5148" w:type="dxa"/>
            <w:tcBorders/>
          </w:tcPr>
          <w:p>
            <w:pPr>
              <w:pStyle w:val="Normal"/>
              <w:widowControl/>
              <w:jc w:val="both"/>
              <w:rPr/>
            </w:pPr>
            <w:r>
              <w:rPr/>
              <w:t>BPA 2002 Wholesale Power Rate Adjustment</w:t>
            </w:r>
          </w:p>
          <w:p>
            <w:pPr>
              <w:pStyle w:val="Normal"/>
              <w:widowControl/>
              <w:jc w:val="both"/>
              <w:rPr/>
            </w:pPr>
            <w:r>
              <w:rPr/>
              <w:t>Proceeding</w:t>
            </w:r>
          </w:p>
        </w:tc>
        <w:tc>
          <w:tcPr>
            <w:tcW w:w="540" w:type="dxa"/>
            <w:tcBorders/>
          </w:tcPr>
          <w:p>
            <w:pPr>
              <w:pStyle w:val="Normal"/>
              <w:widowControl/>
              <w:jc w:val="both"/>
              <w:rPr/>
            </w:pPr>
            <w:r>
              <w:rPr/>
              <w:t>)</w:t>
            </w:r>
          </w:p>
          <w:p>
            <w:pPr>
              <w:pStyle w:val="Normal"/>
              <w:widowControl/>
              <w:jc w:val="both"/>
              <w:rPr/>
            </w:pPr>
            <w:r>
              <w:rPr/>
              <w:t>)</w:t>
            </w:r>
          </w:p>
          <w:p>
            <w:pPr>
              <w:pStyle w:val="Normal"/>
              <w:widowControl/>
              <w:jc w:val="both"/>
              <w:rPr/>
            </w:pPr>
            <w:r>
              <w:rPr/>
            </w:r>
          </w:p>
        </w:tc>
        <w:tc>
          <w:tcPr>
            <w:tcW w:w="3888" w:type="dxa"/>
            <w:tcBorders/>
          </w:tcPr>
          <w:p>
            <w:pPr>
              <w:pStyle w:val="Normal"/>
              <w:widowControl/>
              <w:jc w:val="both"/>
              <w:rPr/>
            </w:pPr>
            <w:r>
              <w:rPr/>
              <w:t>BPA File No. WP-02</w:t>
            </w:r>
          </w:p>
        </w:tc>
      </w:tr>
    </w:tbl>
    <w:p>
      <w:pPr>
        <w:pStyle w:val="Normal"/>
        <w:widowControl/>
        <w:jc w:val="center"/>
        <w:rPr>
          <w:b/>
        </w:rPr>
      </w:pPr>
      <w:r>
        <w:rPr>
          <w:b/>
        </w:rPr>
      </w:r>
    </w:p>
    <w:p>
      <w:pPr>
        <w:pStyle w:val="Normal"/>
        <w:widowControl/>
        <w:jc w:val="center"/>
        <w:rPr>
          <w:b/>
        </w:rPr>
      </w:pPr>
      <w:r>
        <w:rPr>
          <w:b/>
        </w:rPr>
        <w:t>ANSWER OF THE MARKET ACCESS COALITION</w:t>
      </w:r>
    </w:p>
    <w:p>
      <w:pPr>
        <w:pStyle w:val="Normal"/>
        <w:widowControl/>
        <w:jc w:val="center"/>
        <w:rPr/>
      </w:pPr>
      <w:r>
        <w:rPr>
          <w:b/>
        </w:rPr>
        <w:t xml:space="preserve">TO MOTION OF THE CANBY UTILITY BOARD FOR AN EXPANDED EVIDENTIARY HEARING CONCERNING </w:t>
      </w:r>
      <w:r>
        <w:rPr>
          <w:b/>
          <w:i/>
        </w:rPr>
        <w:t>EX PARTE</w:t>
      </w:r>
      <w:r>
        <w:rPr>
          <w:b/>
        </w:rPr>
        <w:t xml:space="preserve"> COMMUNICATIONS OR FOR ALTERNATE RELIEF</w:t>
      </w:r>
    </w:p>
    <w:p>
      <w:pPr>
        <w:pStyle w:val="Normal"/>
        <w:widowControl/>
        <w:jc w:val="center"/>
        <w:rPr/>
      </w:pPr>
      <w:r>
        <w:rPr/>
        <w:t>________________________________________________________________</w:t>
      </w:r>
    </w:p>
    <w:p>
      <w:pPr>
        <w:pStyle w:val="Normal"/>
        <w:widowControl/>
        <w:jc w:val="both"/>
        <w:rPr/>
      </w:pPr>
      <w:r>
        <w:rPr/>
      </w:r>
    </w:p>
    <w:p>
      <w:pPr>
        <w:pStyle w:val="Normal"/>
        <w:widowControl/>
        <w:spacing w:lineRule="auto" w:line="480"/>
        <w:ind w:firstLine="720" w:end="0"/>
        <w:jc w:val="both"/>
        <w:rPr/>
      </w:pPr>
      <w:r>
        <w:rPr/>
        <w:t xml:space="preserve">The Market Access Coalition (“MAC”) hereby answers the motion of the Canby Utility Board (“Canby”) requesting that the hearing officer grant the motion of the DSIs for an evidentiary hearing regarding alleged </w:t>
      </w:r>
      <w:r>
        <w:rPr>
          <w:i/>
        </w:rPr>
        <w:t>ex parte</w:t>
      </w:r>
      <w:r>
        <w:rPr/>
        <w:t xml:space="preserve"> communications, expanding that hearing to  address the DSIs’ own </w:t>
      </w:r>
      <w:r>
        <w:rPr>
          <w:i/>
        </w:rPr>
        <w:t xml:space="preserve">ex parte </w:t>
      </w:r>
      <w:r>
        <w:rPr/>
        <w:t xml:space="preserve"> communications with the BPA Administrator and the Secretary of Energy in efforts to predetermine the outcome of these proceedings.  MAC reiterates the positions advanced in its answer of April 9, 2001, urging denial of the DSI motion for extraordinary hearing procedures.  However, Canby’s motion raises a more troubling problem.</w:t>
      </w:r>
    </w:p>
    <w:p>
      <w:pPr>
        <w:pStyle w:val="Normal"/>
        <w:widowControl/>
        <w:spacing w:lineRule="auto" w:line="480"/>
        <w:ind w:firstLine="720" w:end="0"/>
        <w:jc w:val="both"/>
        <w:rPr/>
      </w:pPr>
      <w:r>
        <w:rPr/>
        <w:t>Canby’s motion alleges that the DSIs and their lobbyists may have consciously set out to subvert the ratemaking process.  As protective cover, the DSIs appear to have urged federal officials to concede that impermissible rate discussions were permissible contract discussions, a distinction that one might analogize to a shell game.  Unless effectively rebutted by the DSIs and BPA, the record already supports a strong inference that anything decided by BPA in this rate case for the benefit of the DSIs results not from the evidence, but from improper, off-the-record continuous discussions between the DSIs and the Administrator, Energy Secretary Richardson, Energy Secretary Abraham and others.</w:t>
      </w:r>
    </w:p>
    <w:p>
      <w:pPr>
        <w:pStyle w:val="Normal"/>
        <w:widowControl/>
        <w:spacing w:lineRule="auto" w:line="480"/>
        <w:ind w:firstLine="720" w:end="0"/>
        <w:jc w:val="both"/>
        <w:rPr/>
      </w:pPr>
      <w:r>
        <w:rPr/>
        <w:t xml:space="preserve">As part of her duty under statute and professional-services contract to ensure that the certified record in this case is both fair and complete, the Hearing Officer may find it necessary to ask probing questions of DSI lobbyists and other employees regarding the nature and extent of their apparent </w:t>
      </w:r>
      <w:r>
        <w:rPr>
          <w:i/>
        </w:rPr>
        <w:t xml:space="preserve">ex parte </w:t>
      </w:r>
      <w:r>
        <w:rPr/>
        <w:t>contacts.  Otherwise, the decision may be fatally tainted as it proceeds forward to FERC and judicial review.  MAC would support the Hearing Officer in undertaking any such investigation on an expedited basis.</w:t>
      </w:r>
    </w:p>
    <w:p>
      <w:pPr>
        <w:pStyle w:val="Normal"/>
        <w:widowControl/>
        <w:ind w:firstLine="720" w:end="0"/>
        <w:jc w:val="both"/>
        <w:rPr/>
      </w:pPr>
      <w:r>
        <w:rPr/>
        <w:t>DATED this 11</w:t>
      </w:r>
      <w:r>
        <w:rPr>
          <w:vertAlign w:val="superscript"/>
        </w:rPr>
        <w:t>th</w:t>
      </w:r>
      <w:r>
        <w:rPr/>
        <w:t xml:space="preserve"> day of April, 2001.</w:t>
      </w:r>
    </w:p>
    <w:p>
      <w:pPr>
        <w:pStyle w:val="Normal"/>
        <w:widowControl/>
        <w:jc w:val="both"/>
        <w:rPr/>
      </w:pPr>
      <w:r>
        <w:rPr/>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DWTNorm"/>
              <w:ind w:hanging="0" w:end="0"/>
              <w:jc w:val="both"/>
              <w:rPr/>
            </w:pPr>
            <w:r>
              <w:rPr/>
              <w:t>Respectfully submitted,</w:t>
            </w:r>
          </w:p>
          <w:p>
            <w:pPr>
              <w:pStyle w:val="DWTNorm"/>
              <w:ind w:hanging="0" w:end="0"/>
              <w:jc w:val="both"/>
              <w:rPr/>
            </w:pPr>
            <w:r>
              <w:rPr/>
            </w:r>
          </w:p>
          <w:p>
            <w:pPr>
              <w:pStyle w:val="DWTNorm"/>
              <w:spacing w:before="0" w:after="0"/>
              <w:ind w:hanging="0" w:end="0"/>
              <w:jc w:val="both"/>
              <w:rPr/>
            </w:pPr>
            <w:r>
              <w:rPr/>
              <w:t>_____________________________</w:t>
            </w:r>
          </w:p>
          <w:p>
            <w:pPr>
              <w:pStyle w:val="DWTNorm"/>
              <w:spacing w:before="0" w:after="0"/>
              <w:ind w:hanging="0" w:end="0"/>
              <w:jc w:val="both"/>
              <w:rPr/>
            </w:pPr>
            <w:r>
              <w:rPr/>
              <w:t>John A. Cameron</w:t>
            </w:r>
          </w:p>
          <w:p>
            <w:pPr>
              <w:pStyle w:val="DWTNorm"/>
              <w:spacing w:before="0" w:after="0"/>
              <w:ind w:hanging="0" w:end="0"/>
              <w:jc w:val="both"/>
              <w:rPr/>
            </w:pPr>
            <w:r>
              <w:rPr/>
              <w:t>Traci Grundon Kirkpatrick</w:t>
            </w:r>
          </w:p>
          <w:p>
            <w:pPr>
              <w:pStyle w:val="DWTNorm"/>
              <w:spacing w:before="0" w:after="0"/>
              <w:ind w:hanging="0" w:end="0"/>
              <w:jc w:val="both"/>
              <w:rPr/>
            </w:pPr>
            <w:r>
              <w:rPr/>
              <w:t>Davis Wright Tremaine</w:t>
            </w:r>
          </w:p>
          <w:p>
            <w:pPr>
              <w:pStyle w:val="DWTNorm"/>
              <w:spacing w:before="0" w:after="240"/>
              <w:ind w:hanging="0" w:end="0"/>
              <w:jc w:val="both"/>
              <w:rPr/>
            </w:pPr>
            <w:r>
              <w:rPr/>
              <w:t>Attorneys for the Market Access Coalition</w:t>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rPr/>
      </w:pPr>
      <w:r>
        <w:rPr/>
      </w:r>
    </w:p>
    <w:p>
      <w:pPr>
        <w:pStyle w:val="Normal"/>
        <w:rPr/>
      </w:pPr>
      <w:r>
        <w:rPr/>
      </w:r>
    </w:p>
    <w:p>
      <w:pPr>
        <w:pStyle w:val="Normal"/>
        <w:jc w:val="center"/>
        <w:rPr/>
      </w:pPr>
      <w:r>
        <w:rPr/>
        <w:t>CERTIFICATE OF SERVICE</w:t>
      </w:r>
    </w:p>
    <w:p>
      <w:pPr>
        <w:pStyle w:val="Normal"/>
        <w:jc w:val="center"/>
        <w:rPr/>
      </w:pPr>
      <w:r>
        <w:rPr/>
      </w:r>
    </w:p>
    <w:p>
      <w:pPr>
        <w:pStyle w:val="Normal"/>
        <w:rPr/>
      </w:pPr>
      <w:r>
        <w:rPr/>
      </w:r>
    </w:p>
    <w:p>
      <w:pPr>
        <w:pStyle w:val="Normal"/>
        <w:ind w:start="720" w:end="720"/>
        <w:rPr/>
      </w:pPr>
      <w:r>
        <w:rPr/>
        <w:tab/>
        <w:t>I hereby certify on the 12</w:t>
      </w:r>
      <w:r>
        <w:rPr>
          <w:vertAlign w:val="superscript"/>
        </w:rPr>
        <w:t>th</w:t>
      </w:r>
      <w:r>
        <w:rPr/>
        <w:t xml:space="preserve"> day of April, 2001, I served upon each person designated on the official service list, either electronically or by U.S. Mail, a full, true and correct copy of the Answer of the Market Access Coalition to Motion of the Canby Utility Board for an Expanded Evidentiary Hearing Concerning Ex Parte Communications or for Alternate Relief.</w:t>
      </w:r>
    </w:p>
    <w:p>
      <w:pPr>
        <w:pStyle w:val="Normal"/>
        <w:ind w:start="720" w:end="720"/>
        <w:rPr/>
      </w:pPr>
      <w:r>
        <w:rPr/>
      </w:r>
    </w:p>
    <w:p>
      <w:pPr>
        <w:pStyle w:val="Normal"/>
        <w:widowControl/>
        <w:jc w:val="center"/>
        <w:rPr>
          <w:b/>
        </w:rPr>
      </w:pPr>
      <w:r>
        <w:rPr>
          <w:b/>
        </w:rPr>
      </w:r>
    </w:p>
    <w:p>
      <w:pPr>
        <w:pStyle w:val="Normal"/>
        <w:ind w:start="720" w:end="720"/>
        <w:rPr>
          <w:b/>
        </w:rPr>
      </w:pPr>
      <w:r>
        <w:rPr>
          <w:b/>
        </w:rPr>
      </w:r>
    </w:p>
    <w:p>
      <w:pPr>
        <w:pStyle w:val="Normal"/>
        <w:ind w:start="720" w:end="720"/>
        <w:rPr/>
      </w:pPr>
      <w:r>
        <w:rPr/>
      </w:r>
    </w:p>
    <w:p>
      <w:pPr>
        <w:pStyle w:val="Normal"/>
        <w:ind w:start="720" w:end="720"/>
        <w:rPr/>
      </w:pPr>
      <w:r>
        <w:rPr/>
        <w:tab/>
        <w:tab/>
        <w:tab/>
        <w:tab/>
        <w:tab/>
        <w:t>______________________________</w:t>
      </w:r>
    </w:p>
    <w:p>
      <w:pPr>
        <w:pStyle w:val="DWTNorm"/>
        <w:spacing w:before="0" w:after="0"/>
        <w:ind w:hanging="0" w:end="0"/>
        <w:jc w:val="both"/>
        <w:rPr/>
      </w:pPr>
      <w:r>
        <w:rPr/>
        <w:tab/>
        <w:tab/>
        <w:tab/>
        <w:tab/>
        <w:tab/>
        <w:tab/>
        <w:t>John A. Cameron</w:t>
      </w:r>
    </w:p>
    <w:p>
      <w:pPr>
        <w:pStyle w:val="DWTNorm"/>
        <w:spacing w:before="0" w:after="0"/>
        <w:ind w:start="3600" w:end="0"/>
        <w:jc w:val="both"/>
        <w:rPr/>
      </w:pPr>
      <w:r>
        <w:rPr/>
        <w:t>Traci Grundon Kirkpatrick</w:t>
      </w:r>
    </w:p>
    <w:p>
      <w:pPr>
        <w:pStyle w:val="DWTNorm"/>
        <w:spacing w:before="0" w:after="0"/>
        <w:ind w:start="3600" w:end="0"/>
        <w:jc w:val="both"/>
        <w:rPr/>
      </w:pPr>
      <w:r>
        <w:rPr/>
        <w:t>Davis Wright Tremaine</w:t>
      </w:r>
    </w:p>
    <w:p>
      <w:pPr>
        <w:pStyle w:val="Normal"/>
        <w:rPr/>
      </w:pPr>
      <w:r>
        <w:rPr/>
      </w:r>
    </w:p>
    <w:p>
      <w:pPr>
        <w:pStyle w:val="Normal"/>
        <w:widowControl/>
        <w:jc w:val="both"/>
        <w:rPr/>
      </w:pPr>
      <w:r>
        <w:rPr/>
      </w:r>
    </w:p>
    <w:p>
      <w:pPr>
        <w:pStyle w:val="Normal"/>
        <w:widowControl/>
        <w:jc w:val="both"/>
        <w:rPr/>
      </w:pPr>
      <w:r>
        <w:rPr/>
      </w:r>
    </w:p>
    <w:p>
      <w:pPr>
        <w:pStyle w:val="Normal"/>
        <w:widowContro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50" w:leader="none"/>
        <w:tab w:val="right" w:pos="9360" w:leader="none"/>
      </w:tabs>
      <w:spacing w:before="200" w:after="0"/>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t>ANSWER TO CANBY MOTION FOR EXPANDED HEARING</w:t>
    </w:r>
    <w:r>
      <w:rPr>
        <w:rStyle w:val="PageNumber"/>
        <w:sz w:val="20"/>
      </w:rPr>
      <w:t xml:space="preserve"> </w:t>
      <w:tab/>
      <w:t>WP-02-A-___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caps/>
        <w:sz w:val="24"/>
        <w:i w:val="false"/>
        <w:u w:val="none"/>
        <w:b w:val="false"/>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sz w:val="24"/>
        <w:i w:val="false"/>
        <w:u w:val="none"/>
        <w:b w:val="false"/>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sz w:val="24"/>
        <w:i w:val="false"/>
        <w:u w:val="none"/>
        <w:b w:val="false"/>
        <w:rFonts w:ascii="Times New Roman" w:hAnsi="Times New Roman" w:cs="Times New Roman"/>
        <w:color w:val="000000"/>
      </w:rPr>
    </w:lvl>
    <w:lvl w:ilvl="3">
      <w:start w:val="1"/>
      <w:numFmt w:val="decimal"/>
      <w:lvlText w:val="%1.%2"/>
      <w:lvlJc w:val="start"/>
      <w:pPr>
        <w:tabs>
          <w:tab w:val="num" w:pos="2880"/>
        </w:tabs>
        <w:ind w:start="2880" w:hanging="720"/>
      </w:pPr>
      <w:rPr>
        <w:smallCaps w:val="false"/>
        <w:caps w:val="false"/>
        <w:sz w:val="24"/>
        <w:i w:val="false"/>
        <w:u w:val="none"/>
        <w:b w:val="false"/>
        <w:rFonts w:ascii="Times New Roman" w:hAnsi="Times New Roman" w:cs="Times New Roman"/>
        <w:color w:val="000000"/>
      </w:rPr>
    </w:lvl>
    <w:lvl w:ilvl="4">
      <w:start w:val="1"/>
      <w:numFmt w:val="lowerLetter"/>
      <w:lvlText w:val="(%5)"/>
      <w:lvlJc w:val="start"/>
      <w:pPr>
        <w:tabs>
          <w:tab w:val="num" w:pos="3600"/>
        </w:tabs>
        <w:ind w:start="3600" w:hanging="720"/>
      </w:pPr>
      <w:rPr>
        <w:smallCaps w:val="false"/>
        <w:caps w:val="false"/>
        <w:sz w:val="24"/>
        <w:i w:val="false"/>
        <w:u w:val="none"/>
        <w:b w:val="false"/>
        <w:rFonts w:ascii="Times New Roman" w:hAnsi="Times New Roman" w:cs="Times New Roman"/>
        <w:color w:val="000000"/>
      </w:rPr>
    </w:lvl>
    <w:lvl w:ilvl="5">
      <w:start w:val="1"/>
      <w:numFmt w:val="lowerRoman"/>
      <w:lvlText w:val="(%6)"/>
      <w:lvlJc w:val="start"/>
      <w:pPr>
        <w:tabs>
          <w:tab w:val="num" w:pos="4320"/>
        </w:tabs>
        <w:ind w:start="4320" w:hanging="720"/>
      </w:pPr>
      <w:rPr>
        <w:smallCaps w:val="false"/>
        <w:caps w:val="false"/>
        <w:sz w:val="24"/>
        <w:i w:val="false"/>
        <w:u w:val="none"/>
        <w:b w:val="false"/>
        <w:rFonts w:ascii="Times New Roman" w:hAnsi="Times New Roman" w:cs="Times New Roman"/>
        <w:color w:val="000000"/>
      </w:rPr>
    </w:lvl>
    <w:lvl w:ilvl="6">
      <w:start w:val="1"/>
      <w:numFmt w:val="upperLetter"/>
      <w:lvlText w:val="(%7)"/>
      <w:lvlJc w:val="start"/>
      <w:pPr>
        <w:tabs>
          <w:tab w:val="num" w:pos="5040"/>
        </w:tabs>
        <w:ind w:start="5040" w:hanging="720"/>
      </w:pPr>
      <w:rPr>
        <w:smallCaps w:val="false"/>
        <w:caps w:val="false"/>
        <w:sz w:val="24"/>
        <w:i w:val="false"/>
        <w:u w:val="none"/>
        <w:b w:val="false"/>
        <w:rFonts w:ascii="Times New Roman" w:hAnsi="Times New Roman" w:cs="Times New Roman"/>
        <w:color w:val="000000"/>
      </w:rPr>
    </w:lvl>
    <w:lvl w:ilvl="7">
      <w:start w:val="1"/>
      <w:numFmt w:val="lowerRoman"/>
      <w:lvlText w:val="%8."/>
      <w:lvlJc w:val="start"/>
      <w:pPr>
        <w:tabs>
          <w:tab w:val="num" w:pos="5760"/>
        </w:tabs>
        <w:ind w:start="5760" w:hanging="720"/>
      </w:pPr>
      <w:rPr>
        <w:smallCaps w:val="false"/>
        <w:caps w:val="false"/>
        <w:sz w:val="24"/>
        <w:i w:val="false"/>
        <w:u w:val="none"/>
        <w:b w:val="false"/>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caps/>
      <w:color w:val="000000"/>
      <w:sz w:val="24"/>
      <w:u w:val="none"/>
    </w:rPr>
  </w:style>
  <w:style w:type="character" w:styleId="WW8Num4z1">
    <w:name w:val="WW8Num4z1"/>
    <w:qFormat/>
    <w:rPr>
      <w:rFonts w:ascii="Times New Roman" w:hAnsi="Times New Roman" w:cs="Times New Roman"/>
      <w:b w:val="false"/>
      <w:i w:val="false"/>
      <w:caps w:val="false"/>
      <w:smallCaps w:val="false"/>
      <w:color w:val="000000"/>
      <w:sz w:val="24"/>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480"/>
      <w:jc w:val="both"/>
    </w:pPr>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before="0" w:after="24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widowControl w:val="false"/>
    </w:pPr>
    <w:rPr>
      <w:sz w:val="24"/>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widowControl/>
      <w:numPr>
        <w:ilvl w:val="0"/>
        <w:numId w:val="2"/>
      </w:numPr>
      <w:spacing w:before="0" w:after="240"/>
      <w:outlineLvl w:val="0"/>
    </w:pPr>
    <w:rPr>
      <w:caps/>
      <w:color w:val="000000"/>
      <w:u w:val="single"/>
    </w:rPr>
  </w:style>
  <w:style w:type="paragraph" w:styleId="OutHead2">
    <w:name w:val="OutHead2"/>
    <w:basedOn w:val="Normal"/>
    <w:next w:val="DWTNorm"/>
    <w:qFormat/>
    <w:pPr>
      <w:keepNext w:val="true"/>
      <w:widowControl/>
      <w:numPr>
        <w:ilvl w:val="0"/>
        <w:numId w:val="2"/>
      </w:numPr>
      <w:spacing w:before="0" w:after="240"/>
      <w:outlineLvl w:val="1"/>
    </w:pPr>
    <w:rPr>
      <w:color w:val="000000"/>
      <w:u w:val="single"/>
    </w:rPr>
  </w:style>
  <w:style w:type="paragraph" w:styleId="OutHead3">
    <w:name w:val="OutHead3"/>
    <w:basedOn w:val="Normal"/>
    <w:next w:val="DWTNorm"/>
    <w:qFormat/>
    <w:pPr>
      <w:keepNext w:val="true"/>
      <w:widowControl/>
      <w:numPr>
        <w:ilvl w:val="0"/>
        <w:numId w:val="2"/>
      </w:numPr>
      <w:spacing w:before="0" w:after="240"/>
      <w:outlineLvl w:val="2"/>
    </w:pPr>
    <w:rPr>
      <w:color w:val="000000"/>
      <w:u w:val="single"/>
    </w:rPr>
  </w:style>
  <w:style w:type="paragraph" w:styleId="OutHead4">
    <w:name w:val="OutHead4"/>
    <w:basedOn w:val="Normal"/>
    <w:next w:val="DWTNorm"/>
    <w:qFormat/>
    <w:pPr>
      <w:keepNext w:val="true"/>
      <w:widowControl/>
      <w:numPr>
        <w:ilvl w:val="0"/>
        <w:numId w:val="2"/>
      </w:numPr>
      <w:spacing w:before="0" w:after="240"/>
      <w:outlineLvl w:val="3"/>
    </w:pPr>
    <w:rPr>
      <w:color w:val="000000"/>
      <w:u w:val="single"/>
    </w:rPr>
  </w:style>
  <w:style w:type="paragraph" w:styleId="OutHead5">
    <w:name w:val="OutHead5"/>
    <w:basedOn w:val="Normal"/>
    <w:next w:val="DWTNorm"/>
    <w:qFormat/>
    <w:pPr>
      <w:keepNext w:val="true"/>
      <w:widowControl/>
      <w:numPr>
        <w:ilvl w:val="0"/>
        <w:numId w:val="2"/>
      </w:numPr>
      <w:spacing w:before="0" w:after="240"/>
      <w:outlineLvl w:val="4"/>
    </w:pPr>
    <w:rPr>
      <w:color w:val="000000"/>
      <w:u w:val="single"/>
    </w:rPr>
  </w:style>
  <w:style w:type="paragraph" w:styleId="OutHead6">
    <w:name w:val="OutHead6"/>
    <w:basedOn w:val="Normal"/>
    <w:next w:val="DWTNorm"/>
    <w:qFormat/>
    <w:pPr>
      <w:keepNext w:val="true"/>
      <w:widowControl/>
      <w:numPr>
        <w:ilvl w:val="0"/>
        <w:numId w:val="2"/>
      </w:numPr>
      <w:spacing w:before="0" w:after="240"/>
      <w:outlineLvl w:val="5"/>
    </w:pPr>
    <w:rPr>
      <w:color w:val="000000"/>
      <w:u w:val="single"/>
    </w:rPr>
  </w:style>
  <w:style w:type="paragraph" w:styleId="OutHead7">
    <w:name w:val="OutHead7"/>
    <w:basedOn w:val="Normal"/>
    <w:next w:val="DWTNorm"/>
    <w:qFormat/>
    <w:pPr>
      <w:keepNext w:val="true"/>
      <w:widowControl/>
      <w:numPr>
        <w:ilvl w:val="0"/>
        <w:numId w:val="2"/>
      </w:numPr>
      <w:spacing w:before="0" w:after="240"/>
      <w:outlineLvl w:val="6"/>
    </w:pPr>
    <w:rPr>
      <w:color w:val="000000"/>
      <w:u w:val="single"/>
    </w:rPr>
  </w:style>
  <w:style w:type="paragraph" w:styleId="OutHead8">
    <w:name w:val="OutHead8"/>
    <w:basedOn w:val="Normal"/>
    <w:next w:val="DWTNorm"/>
    <w:qFormat/>
    <w:pPr>
      <w:keepNext w:val="true"/>
      <w:widowControl/>
      <w:numPr>
        <w:ilvl w:val="0"/>
        <w:numId w:val="2"/>
      </w:numPr>
      <w:spacing w:before="0" w:after="240"/>
      <w:outlineLvl w:val="7"/>
    </w:pPr>
    <w:rPr>
      <w:color w:val="000000"/>
      <w:u w:val="single"/>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itle1">
    <w:name w:val="Title1"/>
    <w:basedOn w:val="DWTNorm"/>
    <w:qFormat/>
    <w:pPr>
      <w:spacing w:lineRule="auto" w:line="480"/>
      <w:ind w:hanging="0" w:start="0" w:end="0"/>
      <w:jc w:val="center"/>
    </w:pPr>
    <w:rPr>
      <w:u w:val="single"/>
    </w:rPr>
  </w:style>
  <w:style w:type="paragraph" w:styleId="TOC1">
    <w:name w:val="toc 1"/>
    <w:basedOn w:val="Normal"/>
    <w:next w:val="Normal"/>
    <w:pPr>
      <w:tabs>
        <w:tab w:val="clear" w:pos="720"/>
        <w:tab w:val="left" w:pos="360" w:leader="none"/>
        <w:tab w:val="right" w:pos="9350" w:leader="dot"/>
      </w:tabs>
      <w:spacing w:before="0" w:after="240"/>
    </w:pPr>
    <w:rPr>
      <w:lang w:val="en-CA"/>
    </w:rPr>
  </w:style>
  <w:style w:type="paragraph" w:styleId="TOC2">
    <w:name w:val="toc 2"/>
    <w:basedOn w:val="Normal"/>
    <w:next w:val="Normal"/>
    <w:pPr>
      <w:tabs>
        <w:tab w:val="clear" w:pos="720"/>
        <w:tab w:val="left" w:pos="1080" w:leader="none"/>
        <w:tab w:val="right" w:pos="9350" w:leader="dot"/>
      </w:tabs>
      <w:spacing w:before="0" w:after="240"/>
      <w:ind w:hanging="360" w:start="720" w:end="0"/>
    </w:pPr>
    <w:rPr>
      <w:lang w:val="en-CA"/>
    </w:rPr>
  </w:style>
  <w:style w:type="paragraph" w:styleId="TOC3">
    <w:name w:val="toc 3"/>
    <w:basedOn w:val="Normal"/>
    <w:next w:val="Normal"/>
    <w:pPr>
      <w:tabs>
        <w:tab w:val="clear" w:pos="720"/>
        <w:tab w:val="left" w:pos="990" w:leader="none"/>
        <w:tab w:val="right" w:pos="9350" w:leader="dot"/>
      </w:tabs>
      <w:spacing w:before="0" w:after="240"/>
      <w:ind w:hanging="270" w:start="990" w:end="0"/>
    </w:pPr>
    <w:rPr>
      <w:lang w:val="en-CA"/>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b/>
    </w:rPr>
  </w:style>
  <w:style w:type="paragraph" w:styleId="BlockText">
    <w:name w:val="Block Text"/>
    <w:basedOn w:val="Normal"/>
    <w:qFormat/>
    <w:pPr>
      <w:ind w:hanging="0" w:start="720" w:end="1530"/>
      <w:jc w:val="both"/>
    </w:pPr>
    <w:rPr/>
  </w:style>
  <w:style w:type="paragraph" w:styleId="BodyTextIndent2">
    <w:name w:val="Body Text Indent 2"/>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2001-04-11T23:25:00Z</dcterms:created>
  <dc:creator>Allyssa Lemire</dc:creator>
  <dc:description/>
  <dc:language>en-CA</dc:language>
  <cp:lastModifiedBy>Template</cp:lastModifiedBy>
  <cp:lastPrinted>2001-04-11T19:00:00Z</cp:lastPrinted>
  <dcterms:modified xsi:type="dcterms:W3CDTF">2001-04-11T23:30:00Z</dcterms:modified>
  <cp:revision>3</cp:revision>
  <dc:subject/>
  <dc:title>UNITED STATES OF AMERICA</dc:title>
</cp:coreProperties>
</file>