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Lines/>
        <w:widowControl/>
        <w:jc w:val="center"/>
        <w:rPr/>
      </w:pPr>
      <w:r>
        <w:rPr/>
        <w:t>UNITED STATES OF AMERICA</w:t>
      </w:r>
    </w:p>
    <w:p>
      <w:pPr>
        <w:pStyle w:val="Normal"/>
        <w:widowControl/>
        <w:jc w:val="center"/>
        <w:rPr/>
      </w:pPr>
      <w:r>
        <w:rPr/>
        <w:t>U.S. DEPARTMENT OF ENERGY</w:t>
      </w:r>
    </w:p>
    <w:p>
      <w:pPr>
        <w:pStyle w:val="Normal"/>
        <w:widowControl/>
        <w:jc w:val="center"/>
        <w:rPr/>
      </w:pPr>
      <w:r>
        <w:rPr/>
        <w:t>BEFORE THE</w:t>
      </w:r>
    </w:p>
    <w:p>
      <w:pPr>
        <w:pStyle w:val="Normal"/>
        <w:widowControl/>
        <w:jc w:val="center"/>
        <w:rPr/>
      </w:pPr>
      <w:r>
        <w:rPr/>
        <w:t>BONNEVILLE POWER ADMINISTRATION</w:t>
      </w:r>
    </w:p>
    <w:p>
      <w:pPr>
        <w:pStyle w:val="Normal"/>
        <w:widowControl/>
        <w:jc w:val="center"/>
        <w:rPr/>
      </w:pPr>
      <w:r>
        <w:rPr/>
      </w:r>
    </w:p>
    <w:p>
      <w:pPr>
        <w:pStyle w:val="Normal"/>
        <w:widowControl/>
        <w:jc w:val="both"/>
        <w:rPr/>
      </w:pPr>
      <w:r>
        <w:rPr/>
      </w:r>
    </w:p>
    <w:tbl>
      <w:tblPr>
        <w:tblW w:w="9576" w:type="dxa"/>
        <w:jc w:val="start"/>
        <w:tblInd w:w="0" w:type="dxa"/>
        <w:tblLayout w:type="fixed"/>
        <w:tblCellMar>
          <w:top w:w="0" w:type="dxa"/>
          <w:start w:w="108" w:type="dxa"/>
          <w:bottom w:w="0" w:type="dxa"/>
          <w:end w:w="108" w:type="dxa"/>
        </w:tblCellMar>
      </w:tblPr>
      <w:tblGrid>
        <w:gridCol w:w="5148"/>
        <w:gridCol w:w="540"/>
        <w:gridCol w:w="3888"/>
      </w:tblGrid>
      <w:tr>
        <w:trPr/>
        <w:tc>
          <w:tcPr>
            <w:tcW w:w="5148" w:type="dxa"/>
            <w:tcBorders/>
          </w:tcPr>
          <w:p>
            <w:pPr>
              <w:pStyle w:val="Normal"/>
              <w:widowControl/>
              <w:jc w:val="both"/>
              <w:rPr/>
            </w:pPr>
            <w:r>
              <w:rPr/>
              <w:t>BPA 2002 Wholesale Power Rate Adjustment</w:t>
            </w:r>
          </w:p>
          <w:p>
            <w:pPr>
              <w:pStyle w:val="Normal"/>
              <w:widowControl/>
              <w:jc w:val="both"/>
              <w:rPr/>
            </w:pPr>
            <w:r>
              <w:rPr/>
              <w:t>Proceeding</w:t>
            </w:r>
          </w:p>
        </w:tc>
        <w:tc>
          <w:tcPr>
            <w:tcW w:w="540" w:type="dxa"/>
            <w:tcBorders/>
          </w:tcPr>
          <w:p>
            <w:pPr>
              <w:pStyle w:val="Normal"/>
              <w:widowControl/>
              <w:jc w:val="both"/>
              <w:rPr/>
            </w:pPr>
            <w:r>
              <w:rPr/>
              <w:t>)</w:t>
            </w:r>
          </w:p>
          <w:p>
            <w:pPr>
              <w:pStyle w:val="Normal"/>
              <w:widowControl/>
              <w:jc w:val="both"/>
              <w:rPr/>
            </w:pPr>
            <w:r>
              <w:rPr/>
              <w:t>)</w:t>
            </w:r>
          </w:p>
          <w:p>
            <w:pPr>
              <w:pStyle w:val="Normal"/>
              <w:widowControl/>
              <w:jc w:val="both"/>
              <w:rPr/>
            </w:pPr>
            <w:r>
              <w:rPr/>
            </w:r>
          </w:p>
        </w:tc>
        <w:tc>
          <w:tcPr>
            <w:tcW w:w="3888" w:type="dxa"/>
            <w:tcBorders/>
          </w:tcPr>
          <w:p>
            <w:pPr>
              <w:pStyle w:val="Normal"/>
              <w:widowControl/>
              <w:jc w:val="both"/>
              <w:rPr/>
            </w:pPr>
            <w:r>
              <w:rPr/>
              <w:t>BPA File No. WP-02</w:t>
            </w:r>
          </w:p>
        </w:tc>
      </w:tr>
    </w:tbl>
    <w:p>
      <w:pPr>
        <w:pStyle w:val="Normal"/>
        <w:widowControl/>
        <w:jc w:val="center"/>
        <w:rPr>
          <w:b/>
        </w:rPr>
      </w:pPr>
      <w:r>
        <w:rPr>
          <w:b/>
        </w:rPr>
      </w:r>
    </w:p>
    <w:p>
      <w:pPr>
        <w:pStyle w:val="Normal"/>
        <w:widowControl/>
        <w:jc w:val="center"/>
        <w:rPr>
          <w:b/>
        </w:rPr>
      </w:pPr>
      <w:r>
        <w:rPr>
          <w:b/>
        </w:rPr>
        <w:t>ANSWER OF THE MARKET ACCESS COALITION</w:t>
      </w:r>
    </w:p>
    <w:p>
      <w:pPr>
        <w:pStyle w:val="Normal"/>
        <w:widowControl/>
        <w:jc w:val="center"/>
        <w:rPr>
          <w:b/>
        </w:rPr>
      </w:pPr>
      <w:r>
        <w:rPr>
          <w:b/>
        </w:rPr>
        <w:t>OPPOSING RECUSAL</w:t>
      </w:r>
    </w:p>
    <w:p>
      <w:pPr>
        <w:pStyle w:val="Normal"/>
        <w:widowControl/>
        <w:jc w:val="center"/>
        <w:rPr/>
      </w:pPr>
      <w:r>
        <w:rPr/>
        <w:t>________________________________________________________</w:t>
      </w:r>
    </w:p>
    <w:p>
      <w:pPr>
        <w:pStyle w:val="Normal"/>
        <w:widowControl/>
        <w:jc w:val="both"/>
        <w:rPr/>
      </w:pPr>
      <w:r>
        <w:rPr/>
      </w:r>
    </w:p>
    <w:p>
      <w:pPr>
        <w:pStyle w:val="Normal"/>
        <w:widowControl/>
        <w:spacing w:lineRule="auto" w:line="480"/>
        <w:ind w:firstLine="720" w:end="0"/>
        <w:jc w:val="both"/>
        <w:rPr/>
      </w:pPr>
      <w:r>
        <w:rPr/>
        <w:t>The Market Access Coalition (“MAC”) hereby answers the motion of Canby Utility Board (“Canby”) requesting that the Hearing Officer recuse herself from considering two earlier motions alleging ex parte communications by BPA employees.  One of the earlier motion was filed by Canby; the second by the DSIs.</w:t>
      </w:r>
      <w:r>
        <w:rPr>
          <w:rStyle w:val="FootnoteCharacters"/>
          <w:rStyle w:val="FootnoteReference"/>
        </w:rPr>
        <w:footnoteReference w:id="2"/>
      </w:r>
      <w:r>
        <w:rPr/>
        <w:t xml:space="preserve">  Canby’s motion was motivated by the desire to demonstrate unclean hands on the part of the DSIs.  We believe resucal to be unwarranted.</w:t>
      </w:r>
    </w:p>
    <w:p>
      <w:pPr>
        <w:pStyle w:val="Normal"/>
        <w:widowControl/>
        <w:spacing w:lineRule="auto" w:line="480"/>
        <w:ind w:firstLine="720" w:end="0"/>
        <w:jc w:val="both"/>
        <w:rPr/>
      </w:pPr>
      <w:r>
        <w:rPr/>
        <w:t>Review of section A.2 of the statement of work in the Hearing Officer’s appointment contract with BPA (Exhibit “A” to the Canby recusal motion) reveals that the Hearing Officer is expected to be a professional “who will be trusted by our customers and the general public to conduct a fair hearing.”  The statement of work continues, authorizing the Hearing Officer to act on “motions to strike testimony, and all other procedural matters.”  Ultimately, she must certify the formal evidentiary record to the Administrator.  These statements of work confirm the obligation of the Hearing Officer under section 7(i) of the Northwest Power Act, 16 U.S.C. § 839e(i)(2) to “develop a full and complete record and to receive public comment in the form of written and oral presentation of views, data, and argument related to such proposed rates.”</w:t>
      </w:r>
    </w:p>
    <w:p>
      <w:pPr>
        <w:pStyle w:val="Normal"/>
        <w:widowControl/>
        <w:spacing w:lineRule="auto" w:line="480"/>
        <w:ind w:firstLine="720" w:end="0"/>
        <w:jc w:val="both"/>
        <w:rPr/>
      </w:pPr>
      <w:r>
        <w:rPr/>
        <w:t>However, section A.5 of the Hearing Officer’s statement of work is a curious provision, seemingly at odds with the foregoing:</w:t>
      </w:r>
    </w:p>
    <w:p>
      <w:pPr>
        <w:pStyle w:val="Normal"/>
        <w:widowControl/>
        <w:ind w:start="720" w:end="720"/>
        <w:jc w:val="both"/>
        <w:rPr/>
      </w:pPr>
      <w:r>
        <w:rPr/>
        <w:t>As a contractor, the hearing officer understands that a confidential, fiduciary relationship exists with respect to the subject matter of the services provided.  The hearing officer will have access to confidential documents and information of BPA, and shall not disclose any information or documents obtained directly or indirectly in connection with his/her work under this contract to anyone outside of BPA, unless BPA gives prior written approval.  Neither shall the hearing officer communicate with anyone outside BPA about work performed pursuant to this contract, unless BPA gives prior written approval.</w:t>
      </w:r>
    </w:p>
    <w:p>
      <w:pPr>
        <w:pStyle w:val="Normal"/>
        <w:widowControl/>
        <w:spacing w:lineRule="auto" w:line="480"/>
        <w:ind w:firstLine="720" w:end="0"/>
        <w:jc w:val="both"/>
        <w:rPr/>
      </w:pPr>
      <w:r>
        <w:rPr/>
      </w:r>
    </w:p>
    <w:p>
      <w:pPr>
        <w:pStyle w:val="Normal"/>
        <w:widowControl/>
        <w:spacing w:lineRule="auto" w:line="480"/>
        <w:ind w:firstLine="720" w:end="0"/>
        <w:jc w:val="both"/>
        <w:rPr/>
      </w:pPr>
      <w:r>
        <w:rPr/>
        <w:t xml:space="preserve">What fiduciary relationship, and to whom is it owed?  What information cannot be disclosed, and why would BPA ever decline to approve disclosure?  Canby seems to believe that this provision would allow BPA to brush aside inquiry about </w:t>
      </w:r>
      <w:r>
        <w:rPr>
          <w:i/>
        </w:rPr>
        <w:t>ex parte</w:t>
      </w:r>
      <w:r>
        <w:rPr/>
        <w:t xml:space="preserve"> communications, at the secret direction of a BPA contracting officer.  To the contrary, however, we are confident that no such direction was ever given to the Hearing Officer by anyone at BPA.  We are confident as well that no one at BPA ever contemplated such direction -- even for a moment.  At her discretion, the Hearing Officer may wish to comment on the quoted paragraph as she proceeds to resolve the motions on their merits.  The recusal motion should be denied.</w:t>
      </w:r>
    </w:p>
    <w:p>
      <w:pPr>
        <w:pStyle w:val="Normal"/>
        <w:widowControl/>
        <w:ind w:firstLine="720" w:end="0"/>
        <w:jc w:val="both"/>
        <w:rPr/>
      </w:pPr>
      <w:r>
        <w:rPr/>
        <w:t>DATED this 11</w:t>
      </w:r>
      <w:r>
        <w:rPr>
          <w:vertAlign w:val="superscript"/>
        </w:rPr>
        <w:t>th</w:t>
      </w:r>
      <w:r>
        <w:rPr/>
        <w:t xml:space="preserve"> day of April, 2001.</w:t>
      </w:r>
    </w:p>
    <w:p>
      <w:pPr>
        <w:pStyle w:val="Normal"/>
        <w:widowControl/>
        <w:jc w:val="both"/>
        <w:rPr/>
      </w:pPr>
      <w:r>
        <w:rPr/>
      </w:r>
    </w:p>
    <w:tbl>
      <w:tblPr>
        <w:tblW w:w="4788" w:type="dxa"/>
        <w:jc w:val="start"/>
        <w:tblInd w:w="4788" w:type="dxa"/>
        <w:tblLayout w:type="fixed"/>
        <w:tblCellMar>
          <w:top w:w="0" w:type="dxa"/>
          <w:start w:w="108" w:type="dxa"/>
          <w:bottom w:w="0" w:type="dxa"/>
          <w:end w:w="108" w:type="dxa"/>
        </w:tblCellMar>
      </w:tblPr>
      <w:tblGrid>
        <w:gridCol w:w="4788"/>
      </w:tblGrid>
      <w:tr>
        <w:trPr/>
        <w:tc>
          <w:tcPr>
            <w:tcW w:w="4788" w:type="dxa"/>
            <w:tcBorders/>
          </w:tcPr>
          <w:p>
            <w:pPr>
              <w:pStyle w:val="DWTNorm"/>
              <w:ind w:hanging="0" w:end="0"/>
              <w:jc w:val="both"/>
              <w:rPr/>
            </w:pPr>
            <w:r>
              <w:rPr/>
              <w:t>Respectfully submitted,</w:t>
            </w:r>
          </w:p>
          <w:p>
            <w:pPr>
              <w:pStyle w:val="DWTNorm"/>
              <w:ind w:hanging="0" w:end="0"/>
              <w:jc w:val="both"/>
              <w:rPr/>
            </w:pPr>
            <w:r>
              <w:rPr/>
            </w:r>
          </w:p>
          <w:p>
            <w:pPr>
              <w:pStyle w:val="DWTNorm"/>
              <w:spacing w:before="0" w:after="0"/>
              <w:ind w:hanging="0" w:end="0"/>
              <w:jc w:val="both"/>
              <w:rPr/>
            </w:pPr>
            <w:r>
              <w:rPr/>
              <w:t>_____________________________</w:t>
            </w:r>
          </w:p>
          <w:p>
            <w:pPr>
              <w:pStyle w:val="DWTNorm"/>
              <w:spacing w:before="0" w:after="0"/>
              <w:ind w:hanging="0" w:end="0"/>
              <w:jc w:val="both"/>
              <w:rPr/>
            </w:pPr>
            <w:r>
              <w:rPr/>
              <w:t>John A. Cameron</w:t>
            </w:r>
          </w:p>
          <w:p>
            <w:pPr>
              <w:pStyle w:val="DWTNorm"/>
              <w:spacing w:before="0" w:after="0"/>
              <w:ind w:hanging="0" w:end="0"/>
              <w:jc w:val="both"/>
              <w:rPr/>
            </w:pPr>
            <w:r>
              <w:rPr/>
              <w:t>Traci Grundon Kirkpatrick</w:t>
            </w:r>
          </w:p>
          <w:p>
            <w:pPr>
              <w:pStyle w:val="DWTNorm"/>
              <w:spacing w:before="0" w:after="0"/>
              <w:ind w:hanging="0" w:end="0"/>
              <w:jc w:val="both"/>
              <w:rPr/>
            </w:pPr>
            <w:r>
              <w:rPr/>
              <w:t>Davis Wright Tremaine</w:t>
            </w:r>
          </w:p>
          <w:p>
            <w:pPr>
              <w:pStyle w:val="DWTNorm"/>
              <w:spacing w:before="0" w:after="240"/>
              <w:ind w:hanging="0" w:end="0"/>
              <w:jc w:val="both"/>
              <w:rPr/>
            </w:pPr>
            <w:r>
              <w:rPr/>
              <w:t>Attorneys for the Market Access Coalition</w:t>
            </w:r>
          </w:p>
        </w:tc>
      </w:tr>
    </w:tbl>
    <w:p>
      <w:pPr>
        <w:pStyle w:val="Normal"/>
        <w:widowControl/>
        <w:jc w:val="both"/>
        <w:rPr/>
      </w:pPr>
      <w:r>
        <w:rPr/>
      </w:r>
    </w:p>
    <w:p>
      <w:pPr>
        <w:pStyle w:val="Normal"/>
        <w:widowControl/>
        <w:jc w:val="both"/>
        <w:rPr/>
      </w:pPr>
      <w:r>
        <w:rPr/>
      </w:r>
    </w:p>
    <w:p>
      <w:pPr>
        <w:pStyle w:val="Normal"/>
        <w:widowControl/>
        <w:jc w:val="both"/>
        <w:rPr/>
      </w:pPr>
      <w:r>
        <w:rPr/>
      </w:r>
      <w:r>
        <w:br w:type="page"/>
      </w:r>
    </w:p>
    <w:p>
      <w:pPr>
        <w:pStyle w:val="Normal"/>
        <w:rPr/>
      </w:pPr>
      <w:r>
        <w:rPr/>
      </w:r>
    </w:p>
    <w:p>
      <w:pPr>
        <w:pStyle w:val="Normal"/>
        <w:rPr/>
      </w:pPr>
      <w:r>
        <w:rPr/>
      </w:r>
    </w:p>
    <w:p>
      <w:pPr>
        <w:pStyle w:val="Normal"/>
        <w:jc w:val="center"/>
        <w:rPr/>
      </w:pPr>
      <w:r>
        <w:rPr/>
        <w:t>CERTIFICATE OF SERVICE</w:t>
      </w:r>
    </w:p>
    <w:p>
      <w:pPr>
        <w:pStyle w:val="Normal"/>
        <w:jc w:val="center"/>
        <w:rPr/>
      </w:pPr>
      <w:r>
        <w:rPr/>
      </w:r>
    </w:p>
    <w:p>
      <w:pPr>
        <w:pStyle w:val="Normal"/>
        <w:rPr/>
      </w:pPr>
      <w:r>
        <w:rPr/>
      </w:r>
    </w:p>
    <w:p>
      <w:pPr>
        <w:pStyle w:val="Normal"/>
        <w:ind w:start="720" w:end="720"/>
        <w:rPr/>
      </w:pPr>
      <w:r>
        <w:rPr/>
        <w:tab/>
        <w:t>I hereby certify on the 12</w:t>
      </w:r>
      <w:r>
        <w:rPr>
          <w:vertAlign w:val="superscript"/>
        </w:rPr>
        <w:t>th</w:t>
      </w:r>
      <w:r>
        <w:rPr/>
        <w:t xml:space="preserve"> day of April, 2001, I served upon each person designated on the official service list, either electronically or by U.S. Mail, a full, true and correct copy of the Answer of the Market Access Coalition Opposing Recusal.</w:t>
      </w:r>
    </w:p>
    <w:p>
      <w:pPr>
        <w:pStyle w:val="Normal"/>
        <w:ind w:start="720" w:end="720"/>
        <w:rPr/>
      </w:pPr>
      <w:r>
        <w:rPr/>
      </w:r>
    </w:p>
    <w:p>
      <w:pPr>
        <w:pStyle w:val="Normal"/>
        <w:ind w:start="720" w:end="720"/>
        <w:rPr/>
      </w:pPr>
      <w:r>
        <w:rPr/>
      </w:r>
    </w:p>
    <w:p>
      <w:pPr>
        <w:pStyle w:val="Normal"/>
        <w:ind w:start="720" w:end="720"/>
        <w:rPr/>
      </w:pPr>
      <w:r>
        <w:rPr/>
      </w:r>
    </w:p>
    <w:p>
      <w:pPr>
        <w:pStyle w:val="Normal"/>
        <w:ind w:start="720" w:end="720"/>
        <w:rPr/>
      </w:pPr>
      <w:r>
        <w:rPr/>
        <w:tab/>
        <w:tab/>
        <w:tab/>
        <w:tab/>
        <w:tab/>
        <w:t>______________________________</w:t>
      </w:r>
    </w:p>
    <w:p>
      <w:pPr>
        <w:pStyle w:val="DWTNorm"/>
        <w:spacing w:before="0" w:after="0"/>
        <w:ind w:hanging="0" w:end="0"/>
        <w:jc w:val="both"/>
        <w:rPr/>
      </w:pPr>
      <w:r>
        <w:rPr/>
        <w:tab/>
        <w:tab/>
        <w:tab/>
        <w:tab/>
        <w:tab/>
        <w:tab/>
        <w:t>John A. Cameron</w:t>
      </w:r>
    </w:p>
    <w:p>
      <w:pPr>
        <w:pStyle w:val="DWTNorm"/>
        <w:spacing w:before="0" w:after="0"/>
        <w:ind w:start="3600" w:end="0"/>
        <w:jc w:val="both"/>
        <w:rPr/>
      </w:pPr>
      <w:r>
        <w:rPr/>
        <w:t>Traci Grundon Kirkpatrick</w:t>
      </w:r>
    </w:p>
    <w:p>
      <w:pPr>
        <w:pStyle w:val="DWTNorm"/>
        <w:spacing w:before="0" w:after="0"/>
        <w:ind w:start="3600" w:end="0"/>
        <w:jc w:val="both"/>
        <w:rPr/>
      </w:pPr>
      <w:r>
        <w:rPr/>
        <w:t>Davis Wright Tremaine</w:t>
      </w:r>
    </w:p>
    <w:p>
      <w:pPr>
        <w:pStyle w:val="Normal"/>
        <w:rPr/>
      </w:pPr>
      <w:r>
        <w:rPr/>
      </w:r>
    </w:p>
    <w:p>
      <w:pPr>
        <w:pStyle w:val="Normal"/>
        <w:widowControl/>
        <w:jc w:val="both"/>
        <w:rPr/>
      </w:pPr>
      <w:r>
        <w:rPr/>
      </w:r>
    </w:p>
    <w:p>
      <w:pPr>
        <w:pStyle w:val="Normal"/>
        <w:widowControl/>
        <w:jc w:val="both"/>
        <w:rPr/>
      </w:pPr>
      <w:r>
        <w:rPr/>
      </w:r>
    </w:p>
    <w:sectPr>
      <w:footerReference w:type="default" r:id="rId2"/>
      <w:footnotePr>
        <w:numFmt w:val="decimal"/>
      </w:footnotePr>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b/>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ab/>
    </w:r>
    <w:r>
      <w:rPr/>
      <w:t>ANSWER OPPOSING RECUSAL</w:t>
      <w:tab/>
      <w:tab/>
      <w:tab/>
      <w:tab/>
      <w:tab/>
      <w:tab/>
    </w:r>
    <w:r>
      <w:rPr>
        <w:rStyle w:val="PageNumber"/>
        <w:sz w:val="20"/>
      </w:rPr>
      <w:t>WP-02-A-___</w:t>
    </w:r>
  </w:p>
  <w:p>
    <w:pPr>
      <w:pStyle w:val="Normal"/>
      <w:tabs>
        <w:tab w:val="clear" w:pos="720"/>
        <w:tab w:val="left" w:pos="450" w:leader="none"/>
        <w:tab w:val="right" w:pos="9360" w:leader="none"/>
      </w:tabs>
      <w:spacing w:before="200" w:after="0"/>
      <w:rPr/>
    </w:pPr>
    <w:r>
      <w:rPr>
        <w:rStyle w:val="PageNumber"/>
        <w:sz w:val="20"/>
      </w:rPr>
      <w:tab/>
    </w:r>
  </w:p>
  <w:p>
    <w:pPr>
      <w:pStyle w:val="Normal"/>
      <w:tabs>
        <w:tab w:val="clear" w:pos="720"/>
        <w:tab w:val="left" w:pos="450" w:leader="none"/>
      </w:tabs>
      <w:rPr/>
    </w:pPr>
    <w:r>
      <w:rPr>
        <w:rStyle w:val="PageNumber"/>
        <w:sz w:val="20"/>
      </w:rPr>
      <w:tab/>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sz w:val="20"/>
        </w:rPr>
        <w:t xml:space="preserve"> “</w:t>
      </w:r>
      <w:r>
        <w:rPr>
          <w:sz w:val="20"/>
        </w:rPr>
        <w:t xml:space="preserve">Motion of the DSIs and Alcoa for an Evidentiary Hearing Concerning Wholesale Violations of the Rule Against </w:t>
      </w:r>
      <w:r>
        <w:rPr>
          <w:i/>
          <w:sz w:val="20"/>
        </w:rPr>
        <w:t>Ex Parte</w:t>
      </w:r>
      <w:r>
        <w:rPr>
          <w:sz w:val="20"/>
        </w:rPr>
        <w:t xml:space="preserve"> Communications, or for Alternative Relief” (WP-02-M-120) and “Motion of the Canby Utility Board Requesting a Partial Disqualification (Recusal) of the Hearing Officer in This Proceeding.” (WP-02-M-121)</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upperRoman"/>
      <w:lvlText w:val="%1."/>
      <w:lvlJc w:val="start"/>
      <w:pPr>
        <w:tabs>
          <w:tab w:val="num" w:pos="0"/>
        </w:tabs>
        <w:ind w:start="0" w:hanging="0"/>
      </w:pPr>
      <w:rPr>
        <w:caps/>
        <w:sz w:val="24"/>
        <w:i w:val="false"/>
        <w:u w:val="none"/>
        <w:b w:val="false"/>
        <w:rFonts w:ascii="Times New Roman" w:hAnsi="Times New Roman" w:cs="Times New Roman"/>
        <w:color w:val="000000"/>
      </w:rPr>
    </w:lvl>
    <w:lvl w:ilvl="1">
      <w:start w:val="1"/>
      <w:numFmt w:val="upperLetter"/>
      <w:lvlText w:val="%2."/>
      <w:lvlJc w:val="start"/>
      <w:pPr>
        <w:tabs>
          <w:tab w:val="num" w:pos="1440"/>
        </w:tabs>
        <w:ind w:start="1440" w:hanging="720"/>
      </w:pPr>
      <w:rPr>
        <w:smallCaps w:val="false"/>
        <w:caps w:val="false"/>
        <w:sz w:val="24"/>
        <w:i w:val="false"/>
        <w:u w:val="none"/>
        <w:b w:val="false"/>
        <w:rFonts w:ascii="Times New Roman" w:hAnsi="Times New Roman" w:cs="Times New Roman"/>
        <w:color w:val="000000"/>
      </w:rPr>
    </w:lvl>
    <w:lvl w:ilvl="2">
      <w:start w:val="1"/>
      <w:numFmt w:val="decimal"/>
      <w:lvlText w:val="%3."/>
      <w:lvlJc w:val="start"/>
      <w:pPr>
        <w:tabs>
          <w:tab w:val="num" w:pos="2160"/>
        </w:tabs>
        <w:ind w:start="2160" w:hanging="720"/>
      </w:pPr>
      <w:rPr>
        <w:smallCaps w:val="false"/>
        <w:caps w:val="false"/>
        <w:sz w:val="24"/>
        <w:i w:val="false"/>
        <w:u w:val="none"/>
        <w:b w:val="false"/>
        <w:rFonts w:ascii="Times New Roman" w:hAnsi="Times New Roman" w:cs="Times New Roman"/>
        <w:color w:val="000000"/>
      </w:rPr>
    </w:lvl>
    <w:lvl w:ilvl="3">
      <w:start w:val="1"/>
      <w:numFmt w:val="decimal"/>
      <w:lvlText w:val="%1.%2"/>
      <w:lvlJc w:val="start"/>
      <w:pPr>
        <w:tabs>
          <w:tab w:val="num" w:pos="2880"/>
        </w:tabs>
        <w:ind w:start="2880" w:hanging="720"/>
      </w:pPr>
      <w:rPr>
        <w:smallCaps w:val="false"/>
        <w:caps w:val="false"/>
        <w:sz w:val="24"/>
        <w:i w:val="false"/>
        <w:u w:val="none"/>
        <w:b w:val="false"/>
        <w:rFonts w:ascii="Times New Roman" w:hAnsi="Times New Roman" w:cs="Times New Roman"/>
        <w:color w:val="000000"/>
      </w:rPr>
    </w:lvl>
    <w:lvl w:ilvl="4">
      <w:start w:val="1"/>
      <w:numFmt w:val="lowerLetter"/>
      <w:lvlText w:val="(%5)"/>
      <w:lvlJc w:val="start"/>
      <w:pPr>
        <w:tabs>
          <w:tab w:val="num" w:pos="3600"/>
        </w:tabs>
        <w:ind w:start="3600" w:hanging="720"/>
      </w:pPr>
      <w:rPr>
        <w:smallCaps w:val="false"/>
        <w:caps w:val="false"/>
        <w:sz w:val="24"/>
        <w:i w:val="false"/>
        <w:u w:val="none"/>
        <w:b w:val="false"/>
        <w:rFonts w:ascii="Times New Roman" w:hAnsi="Times New Roman" w:cs="Times New Roman"/>
        <w:color w:val="000000"/>
      </w:rPr>
    </w:lvl>
    <w:lvl w:ilvl="5">
      <w:start w:val="1"/>
      <w:numFmt w:val="lowerRoman"/>
      <w:lvlText w:val="(%6)"/>
      <w:lvlJc w:val="start"/>
      <w:pPr>
        <w:tabs>
          <w:tab w:val="num" w:pos="4320"/>
        </w:tabs>
        <w:ind w:start="4320" w:hanging="720"/>
      </w:pPr>
      <w:rPr>
        <w:smallCaps w:val="false"/>
        <w:caps w:val="false"/>
        <w:sz w:val="24"/>
        <w:i w:val="false"/>
        <w:u w:val="none"/>
        <w:b w:val="false"/>
        <w:rFonts w:ascii="Times New Roman" w:hAnsi="Times New Roman" w:cs="Times New Roman"/>
        <w:color w:val="000000"/>
      </w:rPr>
    </w:lvl>
    <w:lvl w:ilvl="6">
      <w:start w:val="1"/>
      <w:numFmt w:val="upperLetter"/>
      <w:lvlText w:val="(%7)"/>
      <w:lvlJc w:val="start"/>
      <w:pPr>
        <w:tabs>
          <w:tab w:val="num" w:pos="5040"/>
        </w:tabs>
        <w:ind w:start="5040" w:hanging="720"/>
      </w:pPr>
      <w:rPr>
        <w:smallCaps w:val="false"/>
        <w:caps w:val="false"/>
        <w:sz w:val="24"/>
        <w:i w:val="false"/>
        <w:u w:val="none"/>
        <w:b w:val="false"/>
        <w:rFonts w:ascii="Times New Roman" w:hAnsi="Times New Roman" w:cs="Times New Roman"/>
        <w:color w:val="000000"/>
      </w:rPr>
    </w:lvl>
    <w:lvl w:ilvl="7">
      <w:start w:val="1"/>
      <w:numFmt w:val="lowerRoman"/>
      <w:lvlText w:val="%8."/>
      <w:lvlJc w:val="start"/>
      <w:pPr>
        <w:tabs>
          <w:tab w:val="num" w:pos="5760"/>
        </w:tabs>
        <w:ind w:start="5760" w:hanging="720"/>
      </w:pPr>
      <w:rPr>
        <w:smallCaps w:val="false"/>
        <w:caps w:val="false"/>
        <w:sz w:val="24"/>
        <w:i w:val="false"/>
        <w:u w:val="none"/>
        <w:b w:val="false"/>
        <w:rFonts w:ascii="Times New Roman" w:hAnsi="Times New Roman" w:cs="Times New Roman"/>
        <w:color w:val="000000"/>
      </w:rPr>
    </w:lvl>
    <w:lvl w:ilvl="8">
      <w:start w:val="1"/>
      <w:numFmt w:val="lowerRoman"/>
      <w:lvlText w:val="%9."/>
      <w:lvlJc w:val="start"/>
      <w:pPr>
        <w:tabs>
          <w:tab w:val="num" w:pos="3240"/>
        </w:tabs>
        <w:ind w:start="3240" w:hanging="360"/>
      </w:pPr>
    </w:lvl>
  </w:abstractNum>
  <w:num w:numId="1">
    <w:abstractNumId w:val="1"/>
  </w:num>
  <w:num w:numId="2">
    <w:abstractNumId w:val="2"/>
  </w:num>
</w:numbering>
</file>

<file path=word/settings.xml><?xml version="1.0" encoding="utf-8"?>
<w:settings xmlns:w="http://schemas.openxmlformats.org/wordprocessingml/2006/main">
  <w:zoom w:percent="92"/>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
    <w:qFormat/>
    <w:pPr>
      <w:keepNext w:val="true"/>
      <w:widowControl w:val="false"/>
      <w:numPr>
        <w:ilvl w:val="0"/>
        <w:numId w:val="1"/>
      </w:numPr>
      <w:jc w:val="center"/>
      <w:outlineLvl w:val="0"/>
    </w:pPr>
    <w:rPr>
      <w:caps/>
      <w:sz w:val="24"/>
    </w:rPr>
  </w:style>
  <w:style w:type="paragraph" w:styleId="Heading2">
    <w:name w:val="heading 2"/>
    <w:basedOn w:val="Normal"/>
    <w:next w:val="Body"/>
    <w:qFormat/>
    <w:pPr>
      <w:keepNext w:val="true"/>
      <w:widowControl w:val="false"/>
      <w:numPr>
        <w:ilvl w:val="1"/>
        <w:numId w:val="1"/>
      </w:numPr>
      <w:outlineLvl w:val="1"/>
    </w:pPr>
    <w:rPr>
      <w:caps/>
      <w:sz w:val="24"/>
    </w:rPr>
  </w:style>
  <w:style w:type="paragraph" w:styleId="Heading3">
    <w:name w:val="heading 3"/>
    <w:basedOn w:val="Normal"/>
    <w:next w:val="Body"/>
    <w:qFormat/>
    <w:pPr>
      <w:keepNext w:val="true"/>
      <w:widowControl w:val="false"/>
      <w:numPr>
        <w:ilvl w:val="2"/>
        <w:numId w:val="1"/>
      </w:numPr>
      <w:ind w:hanging="0" w:start="720" w:end="0"/>
      <w:outlineLvl w:val="2"/>
    </w:pPr>
    <w:rPr>
      <w:sz w:val="24"/>
    </w:rPr>
  </w:style>
  <w:style w:type="paragraph" w:styleId="Heading4">
    <w:name w:val="heading 4"/>
    <w:basedOn w:val="Normal"/>
    <w:next w:val="Body"/>
    <w:qFormat/>
    <w:pPr>
      <w:keepNext w:val="true"/>
      <w:widowControl w:val="false"/>
      <w:numPr>
        <w:ilvl w:val="3"/>
        <w:numId w:val="1"/>
      </w:numPr>
      <w:ind w:hanging="0" w:start="1440" w:end="0"/>
      <w:outlineLvl w:val="3"/>
    </w:pPr>
    <w:rPr>
      <w:sz w:val="24"/>
    </w:rPr>
  </w:style>
  <w:style w:type="paragraph" w:styleId="Heading5">
    <w:name w:val="heading 5"/>
    <w:basedOn w:val="Normal"/>
    <w:next w:val="Body"/>
    <w:qFormat/>
    <w:pPr>
      <w:keepNext w:val="true"/>
      <w:widowControl w:val="false"/>
      <w:numPr>
        <w:ilvl w:val="4"/>
        <w:numId w:val="1"/>
      </w:numPr>
      <w:ind w:hanging="0" w:start="2160" w:end="0"/>
      <w:outlineLvl w:val="4"/>
    </w:pPr>
    <w:rPr>
      <w:sz w:val="24"/>
    </w:rPr>
  </w:style>
  <w:style w:type="paragraph" w:styleId="Heading6">
    <w:name w:val="heading 6"/>
    <w:basedOn w:val="Normal"/>
    <w:next w:val="Normal"/>
    <w:qFormat/>
    <w:pPr>
      <w:keepNext w:val="true"/>
      <w:widowControl w:val="false"/>
      <w:numPr>
        <w:ilvl w:val="5"/>
        <w:numId w:val="1"/>
      </w:numPr>
      <w:ind w:hanging="0" w:start="2880" w:end="0"/>
      <w:outlineLvl w:val="5"/>
    </w:pPr>
    <w:rPr>
      <w:sz w:val="24"/>
    </w:rPr>
  </w:style>
  <w:style w:type="paragraph" w:styleId="Heading7">
    <w:name w:val="heading 7"/>
    <w:basedOn w:val="Normal"/>
    <w:next w:val="Normal"/>
    <w:qFormat/>
    <w:pPr>
      <w:widowControl w:val="false"/>
      <w:numPr>
        <w:ilvl w:val="6"/>
        <w:numId w:val="1"/>
      </w:numPr>
      <w:outlineLvl w:val="6"/>
    </w:pPr>
    <w:rPr>
      <w:sz w:val="24"/>
    </w:rPr>
  </w:style>
  <w:style w:type="paragraph" w:styleId="Heading8">
    <w:name w:val="heading 8"/>
    <w:basedOn w:val="Normal"/>
    <w:next w:val="Normal"/>
    <w:qFormat/>
    <w:pPr>
      <w:widowControl w:val="false"/>
      <w:numPr>
        <w:ilvl w:val="7"/>
        <w:numId w:val="1"/>
      </w:numPr>
      <w:outlineLvl w:val="7"/>
    </w:pPr>
    <w:rPr>
      <w:sz w:val="24"/>
    </w:rPr>
  </w:style>
  <w:style w:type="paragraph" w:styleId="Heading9">
    <w:name w:val="heading 9"/>
    <w:basedOn w:val="Normal"/>
    <w:next w:val="Normal"/>
    <w:qFormat/>
    <w:pPr>
      <w:widowControl w:val="false"/>
      <w:numPr>
        <w:ilvl w:val="8"/>
        <w:numId w:val="1"/>
      </w:numPr>
      <w:outlineLvl w:val="8"/>
    </w:pPr>
    <w:rPr>
      <w:sz w:val="24"/>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Times New Roman" w:hAnsi="Times New Roman" w:cs="Times New Roman"/>
      <w:b w:val="false"/>
      <w:i w:val="false"/>
      <w:caps/>
      <w:color w:val="000000"/>
      <w:sz w:val="24"/>
      <w:u w:val="none"/>
    </w:rPr>
  </w:style>
  <w:style w:type="character" w:styleId="WW8Num4z1">
    <w:name w:val="WW8Num4z1"/>
    <w:qFormat/>
    <w:rPr>
      <w:rFonts w:ascii="Times New Roman" w:hAnsi="Times New Roman" w:cs="Times New Roman"/>
      <w:b w:val="false"/>
      <w:i w:val="false"/>
      <w:caps w:val="false"/>
      <w:smallCaps w:val="false"/>
      <w:color w:val="000000"/>
      <w:sz w:val="24"/>
      <w:u w:val="none"/>
    </w:rPr>
  </w:style>
  <w:style w:type="character" w:styleId="WW8Num5z0">
    <w:name w:val="WW8Num5z0"/>
    <w:qFormat/>
    <w:rPr>
      <w:rFonts w:ascii="Symbol" w:hAnsi="Symbol" w:cs="Symbol"/>
    </w:rPr>
  </w:style>
  <w:style w:type="character" w:styleId="WW8Num6z0">
    <w:name w:val="WW8Num6z0"/>
    <w:qFormat/>
    <w:rPr/>
  </w:style>
  <w:style w:type="character" w:styleId="WW8Num7z0">
    <w:name w:val="WW8Num7z0"/>
    <w:qFormat/>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DefaultParagraphFont">
    <w:name w:val="Default Paragraph Font"/>
    <w:qFormat/>
    <w:rPr/>
  </w:style>
  <w:style w:type="character" w:styleId="CommentReference">
    <w:name w:val="Comment Reference"/>
    <w:basedOn w:val="DefaultParagraphFont"/>
    <w:qFormat/>
    <w:rPr>
      <w:rFonts w:ascii="Times New Roman" w:hAnsi="Times New Roman" w:cs="Times New Roman"/>
      <w:sz w:val="16"/>
    </w:rPr>
  </w:style>
  <w:style w:type="character" w:styleId="Emphasis">
    <w:name w:val="Emphasis"/>
    <w:basedOn w:val="DefaultParagraphFont"/>
    <w:qFormat/>
    <w:rPr>
      <w:rFonts w:ascii="Times New Roman" w:hAnsi="Times New Roman" w:cs="Times New Roman"/>
    </w:rPr>
  </w:style>
  <w:style w:type="character" w:styleId="EndnoteCharacters">
    <w:name w:val="Endnote Characters"/>
    <w:basedOn w:val="DefaultParagraphFont"/>
    <w:qFormat/>
    <w:rPr>
      <w:rFonts w:ascii="Times New Roman" w:hAnsi="Times New Roman" w:cs="Times New Roman"/>
      <w:vertAlign w:val="superscript"/>
    </w:rPr>
  </w:style>
  <w:style w:type="character" w:styleId="FollowedHyperlink">
    <w:name w:val="FollowedHyperlink"/>
    <w:basedOn w:val="DefaultParagraphFont"/>
    <w:rPr>
      <w:rFonts w:ascii="Times New Roman" w:hAnsi="Times New Roman" w:cs="Times New Roman"/>
      <w:color w:val="800080"/>
      <w:u w:val="single"/>
    </w:rPr>
  </w:style>
  <w:style w:type="character" w:styleId="FootnoteCharacters">
    <w:name w:val="Footnote Characters"/>
    <w:basedOn w:val="DefaultParagraphFont"/>
    <w:qFormat/>
    <w:rPr>
      <w:rFonts w:ascii="Times New Roman" w:hAnsi="Times New Roman" w:cs="Times New Roman"/>
      <w:vertAlign w:val="superscript"/>
    </w:rPr>
  </w:style>
  <w:style w:type="character" w:styleId="Hyperlink">
    <w:name w:val="Hyperlink"/>
    <w:basedOn w:val="DefaultParagraphFont"/>
    <w:rPr>
      <w:rFonts w:ascii="Times New Roman" w:hAnsi="Times New Roman" w:cs="Times New Roman"/>
      <w:color w:val="0000FF"/>
      <w:u w:val="single"/>
    </w:rPr>
  </w:style>
  <w:style w:type="character" w:styleId="LineNumber">
    <w:name w:val="line number"/>
    <w:basedOn w:val="DefaultParagraphFon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spacing w:before="240" w:after="60"/>
      <w:jc w:val="center"/>
      <w:outlineLvl w:val="0"/>
    </w:pPr>
    <w:rPr>
      <w:rFonts w:ascii="Arial" w:hAnsi="Arial" w:cs="Arial"/>
      <w:b/>
      <w:kern w:val="2"/>
      <w:sz w:val="32"/>
    </w:rPr>
  </w:style>
  <w:style w:type="paragraph" w:styleId="BodyText">
    <w:name w:val="Body Text"/>
    <w:basedOn w:val="Normal"/>
    <w:pPr>
      <w:spacing w:lineRule="auto" w:line="480"/>
      <w:jc w:val="both"/>
    </w:pPr>
    <w:rPr/>
  </w:style>
  <w:style w:type="paragraph" w:styleId="List">
    <w:name w:val="List"/>
    <w:basedOn w:val="Normal"/>
    <w:pPr>
      <w:widowControl w:val="false"/>
      <w:ind w:hanging="360" w:start="720" w:end="0"/>
    </w:pPr>
    <w:rPr>
      <w:sz w:val="24"/>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WTNorm">
    <w:name w:val="DWTNorm"/>
    <w:basedOn w:val="Normal"/>
    <w:qFormat/>
    <w:pPr>
      <w:widowControl/>
      <w:spacing w:before="0" w:after="240"/>
      <w:ind w:firstLine="720" w:start="0" w:end="0"/>
    </w:pPr>
    <w:rPr/>
  </w:style>
  <w:style w:type="paragraph" w:styleId="AfterQuote">
    <w:name w:val="AfterQuote"/>
    <w:basedOn w:val="DWTNorm"/>
    <w:next w:val="DWTNorm"/>
    <w:qFormat/>
    <w:pPr>
      <w:ind w:hanging="0" w:start="0" w:end="0"/>
    </w:pPr>
    <w:rPr/>
  </w:style>
  <w:style w:type="paragraph" w:styleId="Body">
    <w:name w:val="Body"/>
    <w:basedOn w:val="Normal"/>
    <w:qFormat/>
    <w:pPr>
      <w:widowControl w:val="false"/>
      <w:spacing w:lineRule="exact" w:line="480"/>
      <w:ind w:firstLine="720" w:start="0" w:end="0"/>
    </w:pPr>
    <w:rPr>
      <w:sz w:val="24"/>
    </w:rPr>
  </w:style>
  <w:style w:type="paragraph" w:styleId="BodyTextIndent">
    <w:name w:val="Body Text Indent"/>
    <w:basedOn w:val="Normal"/>
    <w:pPr>
      <w:widowControl w:val="false"/>
      <w:spacing w:before="0" w:after="120"/>
      <w:ind w:hanging="0" w:start="360" w:end="0"/>
    </w:pPr>
    <w:rPr>
      <w:sz w:val="24"/>
    </w:rPr>
  </w:style>
  <w:style w:type="paragraph" w:styleId="Citation">
    <w:name w:val="Citation"/>
    <w:basedOn w:val="Body"/>
    <w:qFormat/>
    <w:pPr>
      <w:spacing w:lineRule="exact" w:line="240" w:before="240" w:after="0"/>
      <w:ind w:hanging="0" w:start="720" w:end="720"/>
    </w:pPr>
    <w:rPr/>
  </w:style>
  <w:style w:type="paragraph" w:styleId="Closed">
    <w:name w:val="Closed"/>
    <w:basedOn w:val="Normal"/>
    <w:qFormat/>
    <w:pPr>
      <w:widowControl w:val="false"/>
    </w:pPr>
    <w:rPr>
      <w:sz w:val="24"/>
    </w:rPr>
  </w:style>
  <w:style w:type="paragraph" w:styleId="CommentText">
    <w:name w:val="Comment Text"/>
    <w:basedOn w:val="Normal"/>
    <w:qFormat/>
    <w:pPr>
      <w:widowControl w:val="false"/>
    </w:pPr>
    <w:rPr/>
  </w:style>
  <w:style w:type="paragraph" w:styleId="CopyList">
    <w:name w:val="CopyList"/>
    <w:basedOn w:val="Normal"/>
    <w:qFormat/>
    <w:pPr>
      <w:widowControl w:val="false"/>
      <w:tabs>
        <w:tab w:val="clear" w:pos="720"/>
        <w:tab w:val="left" w:pos="504" w:leader="none"/>
        <w:tab w:val="left" w:pos="2160" w:leader="none"/>
      </w:tabs>
    </w:pPr>
    <w:rPr>
      <w:sz w:val="24"/>
    </w:rPr>
  </w:style>
  <w:style w:type="paragraph" w:styleId="Date">
    <w:name w:val="Date"/>
    <w:basedOn w:val="Normal"/>
    <w:next w:val="Normal"/>
    <w:qFormat/>
    <w:pPr>
      <w:widowControl w:val="false"/>
    </w:pPr>
    <w:rPr>
      <w:sz w:val="24"/>
    </w:rPr>
  </w:style>
  <w:style w:type="paragraph" w:styleId="DWTQuote">
    <w:name w:val="DWTQuote"/>
    <w:basedOn w:val="DWTNorm"/>
    <w:next w:val="AfterQuote"/>
    <w:qFormat/>
    <w:pPr>
      <w:ind w:hanging="0" w:start="1440" w:end="1440"/>
    </w:pPr>
    <w:rPr/>
  </w:style>
  <w:style w:type="paragraph" w:styleId="DWTTitle">
    <w:name w:val="DWTTitle"/>
    <w:basedOn w:val="Normal"/>
    <w:next w:val="DWTNorm"/>
    <w:qFormat/>
    <w:pPr>
      <w:keepNext w:val="true"/>
      <w:widowControl w:val="false"/>
      <w:spacing w:before="0" w:after="240"/>
      <w:jc w:val="center"/>
    </w:pPr>
    <w:rPr>
      <w:b/>
      <w:caps/>
      <w:sz w:val="24"/>
    </w:rPr>
  </w:style>
  <w:style w:type="paragraph" w:styleId="EndnoteText">
    <w:name w:val="endnote text"/>
    <w:basedOn w:val="Normal"/>
    <w:pPr>
      <w:widowControl w:val="fals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center" w:pos="4680" w:leader="none"/>
        <w:tab w:val="right" w:pos="9360" w:leader="none"/>
      </w:tabs>
    </w:pPr>
    <w:rPr>
      <w:sz w:val="24"/>
    </w:rPr>
  </w:style>
  <w:style w:type="paragraph" w:styleId="FootnoteText">
    <w:name w:val="footnote text"/>
    <w:basedOn w:val="Normal"/>
    <w:pPr>
      <w:widowControl w:val="false"/>
    </w:pPr>
    <w:rPr>
      <w:sz w:val="24"/>
    </w:rPr>
  </w:style>
  <w:style w:type="paragraph" w:styleId="From">
    <w:name w:val="From"/>
    <w:basedOn w:val="Normal"/>
    <w:qFormat/>
    <w:pPr>
      <w:widowControl w:val="false"/>
    </w:pPr>
    <w:rPr>
      <w:sz w:val="24"/>
    </w:rPr>
  </w:style>
  <w:style w:type="paragraph" w:styleId="Header">
    <w:name w:val="header"/>
    <w:basedOn w:val="Normal"/>
    <w:pPr>
      <w:widowControl w:val="false"/>
      <w:tabs>
        <w:tab w:val="clear" w:pos="720"/>
        <w:tab w:val="center" w:pos="4680" w:leader="none"/>
        <w:tab w:val="right" w:pos="9360" w:leader="none"/>
      </w:tabs>
    </w:pPr>
    <w:rPr>
      <w:sz w:val="24"/>
    </w:rPr>
  </w:style>
  <w:style w:type="paragraph" w:styleId="Indented">
    <w:name w:val="Indented"/>
    <w:basedOn w:val="Normal"/>
    <w:next w:val="Body"/>
    <w:qFormat/>
    <w:pPr>
      <w:widowControl w:val="false"/>
      <w:ind w:hanging="0" w:start="720" w:end="0"/>
    </w:pPr>
    <w:rPr>
      <w:sz w:val="24"/>
    </w:rPr>
  </w:style>
  <w:style w:type="paragraph" w:styleId="Index1">
    <w:name w:val="index 1"/>
    <w:basedOn w:val="Normal"/>
    <w:next w:val="Normal"/>
    <w:pPr>
      <w:widowControl w:val="false"/>
      <w:spacing w:before="240" w:after="0"/>
    </w:pPr>
    <w:rPr>
      <w:sz w:val="24"/>
    </w:rPr>
  </w:style>
  <w:style w:type="paragraph" w:styleId="Index2">
    <w:name w:val="index 2"/>
    <w:basedOn w:val="Normal"/>
    <w:next w:val="Normal"/>
    <w:pPr>
      <w:widowControl w:val="false"/>
      <w:tabs>
        <w:tab w:val="clear" w:pos="720"/>
        <w:tab w:val="right" w:pos="8640" w:leader="dot"/>
      </w:tabs>
    </w:pPr>
    <w:rPr>
      <w:sz w:val="24"/>
    </w:rPr>
  </w:style>
  <w:style w:type="paragraph" w:styleId="NormalIndent">
    <w:name w:val="Normal Indent"/>
    <w:basedOn w:val="Normal"/>
    <w:next w:val="Normal"/>
    <w:qFormat/>
    <w:pPr>
      <w:ind w:hanging="0" w:start="720" w:end="0"/>
    </w:pPr>
    <w:rPr/>
  </w:style>
  <w:style w:type="paragraph" w:styleId="OutHead1">
    <w:name w:val="OutHead1"/>
    <w:basedOn w:val="Normal"/>
    <w:next w:val="DWTNorm"/>
    <w:qFormat/>
    <w:pPr>
      <w:keepNext w:val="true"/>
      <w:widowControl/>
      <w:numPr>
        <w:ilvl w:val="0"/>
        <w:numId w:val="2"/>
      </w:numPr>
      <w:spacing w:before="0" w:after="240"/>
      <w:outlineLvl w:val="0"/>
    </w:pPr>
    <w:rPr>
      <w:caps/>
      <w:color w:val="000000"/>
      <w:u w:val="single"/>
    </w:rPr>
  </w:style>
  <w:style w:type="paragraph" w:styleId="OutHead2">
    <w:name w:val="OutHead2"/>
    <w:basedOn w:val="Normal"/>
    <w:next w:val="DWTNorm"/>
    <w:qFormat/>
    <w:pPr>
      <w:keepNext w:val="true"/>
      <w:widowControl/>
      <w:numPr>
        <w:ilvl w:val="0"/>
        <w:numId w:val="2"/>
      </w:numPr>
      <w:spacing w:before="0" w:after="240"/>
      <w:outlineLvl w:val="1"/>
    </w:pPr>
    <w:rPr>
      <w:color w:val="000000"/>
      <w:u w:val="single"/>
    </w:rPr>
  </w:style>
  <w:style w:type="paragraph" w:styleId="OutHead3">
    <w:name w:val="OutHead3"/>
    <w:basedOn w:val="Normal"/>
    <w:next w:val="DWTNorm"/>
    <w:qFormat/>
    <w:pPr>
      <w:keepNext w:val="true"/>
      <w:widowControl/>
      <w:numPr>
        <w:ilvl w:val="0"/>
        <w:numId w:val="2"/>
      </w:numPr>
      <w:spacing w:before="0" w:after="240"/>
      <w:outlineLvl w:val="2"/>
    </w:pPr>
    <w:rPr>
      <w:color w:val="000000"/>
      <w:u w:val="single"/>
    </w:rPr>
  </w:style>
  <w:style w:type="paragraph" w:styleId="OutHead4">
    <w:name w:val="OutHead4"/>
    <w:basedOn w:val="Normal"/>
    <w:next w:val="DWTNorm"/>
    <w:qFormat/>
    <w:pPr>
      <w:keepNext w:val="true"/>
      <w:widowControl/>
      <w:numPr>
        <w:ilvl w:val="0"/>
        <w:numId w:val="2"/>
      </w:numPr>
      <w:spacing w:before="0" w:after="240"/>
      <w:outlineLvl w:val="3"/>
    </w:pPr>
    <w:rPr>
      <w:color w:val="000000"/>
      <w:u w:val="single"/>
    </w:rPr>
  </w:style>
  <w:style w:type="paragraph" w:styleId="OutHead5">
    <w:name w:val="OutHead5"/>
    <w:basedOn w:val="Normal"/>
    <w:next w:val="DWTNorm"/>
    <w:qFormat/>
    <w:pPr>
      <w:keepNext w:val="true"/>
      <w:widowControl/>
      <w:numPr>
        <w:ilvl w:val="0"/>
        <w:numId w:val="2"/>
      </w:numPr>
      <w:spacing w:before="0" w:after="240"/>
      <w:outlineLvl w:val="4"/>
    </w:pPr>
    <w:rPr>
      <w:color w:val="000000"/>
      <w:u w:val="single"/>
    </w:rPr>
  </w:style>
  <w:style w:type="paragraph" w:styleId="OutHead6">
    <w:name w:val="OutHead6"/>
    <w:basedOn w:val="Normal"/>
    <w:next w:val="DWTNorm"/>
    <w:qFormat/>
    <w:pPr>
      <w:keepNext w:val="true"/>
      <w:widowControl/>
      <w:numPr>
        <w:ilvl w:val="0"/>
        <w:numId w:val="2"/>
      </w:numPr>
      <w:spacing w:before="0" w:after="240"/>
      <w:outlineLvl w:val="5"/>
    </w:pPr>
    <w:rPr>
      <w:color w:val="000000"/>
      <w:u w:val="single"/>
    </w:rPr>
  </w:style>
  <w:style w:type="paragraph" w:styleId="OutHead7">
    <w:name w:val="OutHead7"/>
    <w:basedOn w:val="Normal"/>
    <w:next w:val="DWTNorm"/>
    <w:qFormat/>
    <w:pPr>
      <w:keepNext w:val="true"/>
      <w:widowControl/>
      <w:numPr>
        <w:ilvl w:val="0"/>
        <w:numId w:val="2"/>
      </w:numPr>
      <w:spacing w:before="0" w:after="240"/>
      <w:outlineLvl w:val="6"/>
    </w:pPr>
    <w:rPr>
      <w:color w:val="000000"/>
      <w:u w:val="single"/>
    </w:rPr>
  </w:style>
  <w:style w:type="paragraph" w:styleId="OutHead8">
    <w:name w:val="OutHead8"/>
    <w:basedOn w:val="Normal"/>
    <w:next w:val="DWTNorm"/>
    <w:qFormat/>
    <w:pPr>
      <w:keepNext w:val="true"/>
      <w:widowControl/>
      <w:numPr>
        <w:ilvl w:val="0"/>
        <w:numId w:val="2"/>
      </w:numPr>
      <w:spacing w:before="0" w:after="240"/>
      <w:outlineLvl w:val="7"/>
    </w:pPr>
    <w:rPr>
      <w:color w:val="000000"/>
      <w:u w:val="single"/>
    </w:rPr>
  </w:style>
  <w:style w:type="paragraph" w:styleId="PlainText">
    <w:name w:val="Plain Text"/>
    <w:basedOn w:val="Normal"/>
    <w:qFormat/>
    <w:pPr/>
    <w:rPr>
      <w:sz w:val="20"/>
    </w:rPr>
  </w:style>
  <w:style w:type="paragraph" w:styleId="Signature">
    <w:name w:val="Signature"/>
    <w:basedOn w:val="Normal"/>
    <w:pPr>
      <w:keepLines/>
      <w:ind w:hanging="0" w:start="4320" w:end="0"/>
    </w:pPr>
    <w:rPr/>
  </w:style>
  <w:style w:type="paragraph" w:styleId="Subject">
    <w:name w:val="Subject"/>
    <w:basedOn w:val="Normal"/>
    <w:qFormat/>
    <w:pPr/>
    <w:rPr/>
  </w:style>
  <w:style w:type="paragraph" w:styleId="SubList">
    <w:name w:val="SubList"/>
    <w:basedOn w:val="List"/>
    <w:qFormat/>
    <w:pPr>
      <w:ind w:hanging="360" w:start="1440" w:end="0"/>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Table">
    <w:name w:val="Table"/>
    <w:basedOn w:val="Normal"/>
    <w:qFormat/>
    <w:pPr>
      <w:tabs>
        <w:tab w:val="clear" w:pos="720"/>
        <w:tab w:val="left" w:pos="1440" w:leader="none"/>
      </w:tabs>
      <w:spacing w:lineRule="atLeast" w:line="480"/>
    </w:pPr>
    <w:rPr/>
  </w:style>
  <w:style w:type="paragraph" w:styleId="Table2">
    <w:name w:val="Table2"/>
    <w:basedOn w:val="Normal"/>
    <w:qFormat/>
    <w:pPr>
      <w:spacing w:before="120" w:after="0"/>
      <w:ind w:hanging="0" w:start="720" w:end="0"/>
    </w:pPr>
    <w:rPr/>
  </w:style>
  <w:style w:type="paragraph" w:styleId="Title1">
    <w:name w:val="Title1"/>
    <w:basedOn w:val="DWTNorm"/>
    <w:qFormat/>
    <w:pPr>
      <w:spacing w:lineRule="auto" w:line="480"/>
      <w:ind w:hanging="0" w:start="0" w:end="0"/>
      <w:jc w:val="center"/>
    </w:pPr>
    <w:rPr>
      <w:u w:val="single"/>
    </w:rPr>
  </w:style>
  <w:style w:type="paragraph" w:styleId="TOC1">
    <w:name w:val="toc 1"/>
    <w:basedOn w:val="Normal"/>
    <w:next w:val="Normal"/>
    <w:pPr>
      <w:tabs>
        <w:tab w:val="clear" w:pos="720"/>
        <w:tab w:val="left" w:pos="360" w:leader="none"/>
        <w:tab w:val="right" w:pos="9350" w:leader="dot"/>
      </w:tabs>
      <w:spacing w:before="0" w:after="240"/>
    </w:pPr>
    <w:rPr>
      <w:lang w:val="en-CA"/>
    </w:rPr>
  </w:style>
  <w:style w:type="paragraph" w:styleId="TOC2">
    <w:name w:val="toc 2"/>
    <w:basedOn w:val="Normal"/>
    <w:next w:val="Normal"/>
    <w:pPr>
      <w:tabs>
        <w:tab w:val="clear" w:pos="720"/>
        <w:tab w:val="left" w:pos="1080" w:leader="none"/>
        <w:tab w:val="right" w:pos="9350" w:leader="dot"/>
      </w:tabs>
      <w:spacing w:before="0" w:after="240"/>
      <w:ind w:hanging="360" w:start="720" w:end="0"/>
    </w:pPr>
    <w:rPr>
      <w:lang w:val="en-CA"/>
    </w:rPr>
  </w:style>
  <w:style w:type="paragraph" w:styleId="TOC3">
    <w:name w:val="toc 3"/>
    <w:basedOn w:val="Normal"/>
    <w:next w:val="Normal"/>
    <w:pPr>
      <w:tabs>
        <w:tab w:val="clear" w:pos="720"/>
        <w:tab w:val="left" w:pos="990" w:leader="none"/>
        <w:tab w:val="right" w:pos="9350" w:leader="dot"/>
      </w:tabs>
      <w:spacing w:before="0" w:after="240"/>
      <w:ind w:hanging="270" w:start="990" w:end="0"/>
    </w:pPr>
    <w:rPr>
      <w:lang w:val="en-CA"/>
    </w:rPr>
  </w:style>
  <w:style w:type="paragraph" w:styleId="TOC4">
    <w:name w:val="toc 4"/>
    <w:basedOn w:val="Normal"/>
    <w:next w:val="Normal"/>
    <w:pPr>
      <w:spacing w:before="0" w:after="240"/>
      <w:ind w:hanging="0" w:start="720" w:end="0"/>
    </w:pPr>
    <w:rPr/>
  </w:style>
  <w:style w:type="paragraph" w:styleId="TOC5">
    <w:name w:val="toc 5"/>
    <w:basedOn w:val="Normal"/>
    <w:next w:val="Normal"/>
    <w:pPr>
      <w:spacing w:before="0" w:after="240"/>
      <w:ind w:hanging="0" w:start="965" w:end="0"/>
    </w:pPr>
    <w:rPr/>
  </w:style>
  <w:style w:type="paragraph" w:styleId="TOC6">
    <w:name w:val="toc 6"/>
    <w:basedOn w:val="Normal"/>
    <w:next w:val="Normal"/>
    <w:pPr>
      <w:spacing w:before="0" w:after="240"/>
      <w:ind w:hanging="0" w:start="1195" w:end="0"/>
    </w:pPr>
    <w:rPr/>
  </w:style>
  <w:style w:type="paragraph" w:styleId="TOC7">
    <w:name w:val="toc 7"/>
    <w:basedOn w:val="Normal"/>
    <w:next w:val="Normal"/>
    <w:pPr>
      <w:spacing w:before="0" w:after="240"/>
      <w:ind w:hanging="0" w:start="1440" w:end="0"/>
    </w:pPr>
    <w:rPr/>
  </w:style>
  <w:style w:type="paragraph" w:styleId="TOC8">
    <w:name w:val="toc 8"/>
    <w:basedOn w:val="Normal"/>
    <w:next w:val="Normal"/>
    <w:pPr>
      <w:spacing w:before="0" w:after="240"/>
      <w:ind w:hanging="0" w:start="1685" w:end="0"/>
    </w:pPr>
    <w:rPr/>
  </w:style>
  <w:style w:type="paragraph" w:styleId="TOC9">
    <w:name w:val="toc 9"/>
    <w:basedOn w:val="Normal"/>
    <w:next w:val="Normal"/>
    <w:pPr>
      <w:spacing w:before="0" w:after="240"/>
      <w:ind w:hanging="0" w:start="1915" w:end="0"/>
    </w:pPr>
    <w:rPr/>
  </w:style>
  <w:style w:type="paragraph" w:styleId="TableofAuthorities">
    <w:name w:val="Table of Authorities"/>
    <w:basedOn w:val="Normal"/>
    <w:next w:val="Normal"/>
    <w:qFormat/>
    <w:pPr>
      <w:ind w:hanging="240" w:start="240" w:end="0"/>
    </w:pPr>
    <w:rPr/>
  </w:style>
  <w:style w:type="paragraph" w:styleId="TOAHeading">
    <w:name w:val="TOA Heading"/>
    <w:basedOn w:val="Normal"/>
    <w:next w:val="Normal"/>
    <w:qFormat/>
    <w:pPr>
      <w:spacing w:before="120" w:after="0"/>
    </w:pPr>
    <w:rPr>
      <w:b/>
    </w:rPr>
  </w:style>
  <w:style w:type="paragraph" w:styleId="BlockText">
    <w:name w:val="Block Text"/>
    <w:basedOn w:val="Normal"/>
    <w:qFormat/>
    <w:pPr>
      <w:ind w:hanging="0" w:start="720" w:end="1530"/>
      <w:jc w:val="both"/>
    </w:pPr>
    <w:rPr/>
  </w:style>
  <w:style w:type="paragraph" w:styleId="BodyTextIndent2">
    <w:name w:val="Body Text Indent 2"/>
    <w:basedOn w:val="Normal"/>
    <w:qFormat/>
    <w:pPr>
      <w:spacing w:lineRule="auto" w:line="480"/>
      <w:ind w:firstLine="720" w:start="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2001-04-11T22:31:00Z</dcterms:created>
  <dc:creator>Allyssa Lemire</dc:creator>
  <dc:description/>
  <dc:language>en-CA</dc:language>
  <cp:lastModifiedBy>Traci Grundon</cp:lastModifiedBy>
  <cp:lastPrinted>2001-04-11T18:58:00Z</cp:lastPrinted>
  <dcterms:modified xsi:type="dcterms:W3CDTF">2001-04-11T23:28:00Z</dcterms:modified>
  <cp:revision>5</cp:revision>
  <dc:subject/>
  <dc:title>UNITED STATES OF AMERICA</dc:title>
</cp:coreProperties>
</file>