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pPr>
      <w:r>
        <w:rPr/>
        <w:t>DRAFT CONFIDENTAL ATTY-CLIENT WORK PRODUCT</w:t>
      </w:r>
    </w:p>
    <w:p>
      <w:pPr>
        <w:pStyle w:val="BodyText"/>
        <w:spacing w:lineRule="auto" w:line="360"/>
        <w:rPr/>
      </w:pPr>
      <w:r>
        <w:rPr/>
      </w:r>
    </w:p>
    <w:p>
      <w:pPr>
        <w:pStyle w:val="BodyText"/>
        <w:spacing w:lineRule="auto" w:line="360"/>
        <w:rPr/>
      </w:pPr>
      <w:r>
        <w:rPr/>
        <w:t>EPMI’s Answer to ISO’s Comments on Commission Staff’s Market Monitoring and Mitigation Plan</w:t>
      </w:r>
    </w:p>
    <w:p>
      <w:pPr>
        <w:pStyle w:val="BodyText"/>
        <w:spacing w:lineRule="auto" w:line="360"/>
        <w:rPr/>
      </w:pPr>
      <w:r>
        <w:rPr/>
      </w:r>
    </w:p>
    <w:p>
      <w:pPr>
        <w:pStyle w:val="BodyText"/>
        <w:spacing w:lineRule="auto" w:line="360"/>
        <w:rPr/>
      </w:pPr>
      <w:r>
        <w:rPr/>
        <w:t>Draft Text</w:t>
      </w:r>
    </w:p>
    <w:p>
      <w:pPr>
        <w:pStyle w:val="Normal"/>
        <w:spacing w:lineRule="auto" w:line="360"/>
        <w:rPr/>
      </w:pPr>
      <w:r>
        <w:rPr/>
        <w:t>Note: this is suggested text for use by B&amp;P in the Motion to Leave to File Answer and Answer that accompanies SA’s affidavit.</w:t>
      </w:r>
    </w:p>
    <w:p>
      <w:pPr>
        <w:pStyle w:val="Normal"/>
        <w:spacing w:lineRule="auto" w:line="360"/>
        <w:rPr/>
      </w:pPr>
      <w:r>
        <w:rPr/>
      </w:r>
    </w:p>
    <w:p>
      <w:pPr>
        <w:pStyle w:val="Normal"/>
        <w:spacing w:lineRule="auto" w:line="360"/>
        <w:rPr/>
      </w:pPr>
      <w:r>
        <w:rPr>
          <w:b/>
          <w:bCs/>
        </w:rPr>
        <w:t>Introduction and Summary</w:t>
      </w:r>
      <w:r>
        <w:rPr/>
        <w:t xml:space="preserve">: </w:t>
      </w:r>
    </w:p>
    <w:p>
      <w:pPr>
        <w:pStyle w:val="Normal"/>
        <w:spacing w:lineRule="auto" w:line="360"/>
        <w:rPr/>
      </w:pPr>
      <w:r>
        <w:rPr/>
      </w:r>
    </w:p>
    <w:p>
      <w:pPr>
        <w:pStyle w:val="Normal"/>
        <w:spacing w:lineRule="auto" w:line="360"/>
        <w:rPr/>
      </w:pPr>
      <w:r>
        <w:rPr/>
        <w:t xml:space="preserve">In the Comments of the California Independent System Operator Corporation (CAISO) on Staff’s Recommendation on Prospective Market Monitoring and Mitigation for the California Wholesale Electric Power Market (CAISO Comments), CAISO recognizes the dire situation it faces this summer (CAISO Comments, p. 13).  Unfortunately that is where CAISO’s grasp of reality ends.  CAISO points fingers, provides scapegoats, and puts its customers at risk for severe reliability problems this summer. Nowhere, however, does CAISO provide any real solutions to the problems it or its customers face.  Other than propose ways of stealing power from neighboring states, the CAISO plan does nothing that will increase supply or decrease demand.  </w:t>
      </w:r>
    </w:p>
    <w:p>
      <w:pPr>
        <w:pStyle w:val="Normal"/>
        <w:spacing w:lineRule="auto" w:line="360"/>
        <w:rPr/>
      </w:pPr>
      <w:r>
        <w:rPr/>
      </w:r>
    </w:p>
    <w:p>
      <w:pPr>
        <w:pStyle w:val="Normal"/>
        <w:spacing w:lineRule="auto" w:line="360"/>
        <w:rPr/>
      </w:pPr>
      <w:r>
        <w:rPr/>
        <w:t>Instead of placing attention on programs that would help alleviate the supply-demand imbalance for this summer, CAISO’s claims of market power and its call for greatly expand price controls, will deter investment in new generation.  Continued claims of market power and monopoly rent raise the specter of refunds.  No matter how unfounded the claims, such claims coming from the CAISO and as repeated in the press only serve as a disincentive for new investment in supply.  CAISO’s proposed market manipulations, including its proposal to cut exports, will force other states to subsidize California and invite retaliation by other states and power control areas.  Ultimately the impact of reduced trade will be a reduction, not an increase, in the availability of supply in the state.  Finally, the existence of price controls will severely hamper price responsive demand, which is a crucial component of the solution this summer.</w:t>
      </w:r>
    </w:p>
    <w:p>
      <w:pPr>
        <w:pStyle w:val="Normal"/>
        <w:spacing w:lineRule="auto" w:line="360"/>
        <w:rPr/>
      </w:pPr>
      <w:r>
        <w:rPr/>
      </w:r>
    </w:p>
    <w:p>
      <w:pPr>
        <w:pStyle w:val="Normal"/>
        <w:spacing w:lineRule="auto" w:line="360"/>
        <w:rPr/>
      </w:pPr>
      <w:r>
        <w:rPr/>
        <w:t>CAISO’s Comments presents the two studies that it claims provide evidence of market power and strategic bidding.  Eric Hildebrandt, PhD, presents a study (CAISO Comments, Attachment B) of “impact of market power on overall wholesale energy prices” for the period May 2000 through February 2001.  Anjali Sheffrin, PhD, conducts an analysis (CAISO Comments Attachment C) of so-called strategic bidding for the period May to November 2000.  Sheffrin’s analysis attempts to link claims of market power to individual market participant bidding behavior.</w:t>
      </w:r>
    </w:p>
    <w:p>
      <w:pPr>
        <w:pStyle w:val="Normal"/>
        <w:spacing w:lineRule="auto" w:line="360"/>
        <w:rPr/>
      </w:pPr>
      <w:r>
        <w:rPr/>
      </w:r>
    </w:p>
    <w:p>
      <w:pPr>
        <w:pStyle w:val="Normal"/>
        <w:spacing w:lineRule="auto" w:line="360"/>
        <w:rPr/>
      </w:pPr>
      <w:r>
        <w:rPr/>
        <w:t xml:space="preserve">The other major component of the CAISO’s Comments is a description of its Market Stabilization Plan (MSP).  According to the  CAISO, its MSP is being designed with two goals in mind: (1) control costs via self-designed market mitigation measures, and (2) provide for greater operational or market “stability.”   CAISO’s MSP attempts to achieve  its goals through several measures including (1) Resource-specific cost based caps (RCBCs), (2) the creation of  a centralized, ISO-controlled forward markets,  and (3) a plan to cut exports on a day-ahead basis as a way to prevent so-called “megawatt laundering.” .  CAISO Comments at 36-39.  </w:t>
      </w:r>
    </w:p>
    <w:p>
      <w:pPr>
        <w:pStyle w:val="Normal"/>
        <w:spacing w:lineRule="auto" w:line="360"/>
        <w:rPr/>
      </w:pPr>
      <w:r>
        <w:rPr/>
      </w:r>
    </w:p>
    <w:p>
      <w:pPr>
        <w:pStyle w:val="Normal"/>
        <w:spacing w:lineRule="auto" w:line="360"/>
        <w:ind w:firstLine="720" w:end="0"/>
        <w:rPr/>
      </w:pPr>
      <w:r>
        <w:rPr/>
        <w:t xml:space="preserve">Rather than being a stabilization plan, CAISO proposes a  </w:t>
      </w:r>
      <w:r>
        <w:rPr>
          <w:i/>
          <w:iCs/>
        </w:rPr>
        <w:t>de</w:t>
      </w:r>
      <w:r>
        <w:rPr/>
        <w:t>stabilization plan.  EPMI submits that controlling prices and “stabilizing” the market are irreconcilable goals.  CAISO’s proposal to impose RCBCs will severely reduce the incentive to participate in the California market.  Importers, unless they are taken on an out-of-market basis, will have to accept the clearing price based on the cost caps of in state resources. This pricing scheme can only encourage more demand and discourage supply.  EPMI is also extremely troubled by CAISO’s plan to cut exports. CAISO’s proposal is far from clear but it appears to be their plan to cut exports on a day-ahead basis whenever an emergency (stage 1, 2, or 3) is anticipated.  Exports will be cut in advance of out-of-market calls for power, thus, the export cuts will be clearly done for economic reasons and not for reliability reasons.  Cutting exports for reasons rather than other than grid reliability is a blatant violation of Commission’s Order 2000 principles, let alone the U.S. Constitution Commerce Clause. EPMI believes that CAISO should have no authority to cut firm exports except under conditions where a CAISO-controlled  transmission line is having a reliability problem that directly affects its operating capacity.</w:t>
      </w:r>
    </w:p>
    <w:p>
      <w:pPr>
        <w:pStyle w:val="Normal"/>
        <w:spacing w:lineRule="auto" w:line="360"/>
        <w:rPr/>
      </w:pPr>
      <w:r>
        <w:rPr/>
      </w:r>
    </w:p>
    <w:p>
      <w:pPr>
        <w:pStyle w:val="Normal"/>
        <w:spacing w:lineRule="auto" w:line="360"/>
        <w:rPr/>
      </w:pPr>
      <w:r>
        <w:rPr/>
        <w:t>On April 6, 2001, the CAISO provided further description of its MSP. [Check to see if actually filed.] For this reason,   EPMI will reserve further comments on the MSP pending review of that motion, which FERC rules allow for opportunity to comment.</w:t>
      </w:r>
    </w:p>
    <w:p>
      <w:pPr>
        <w:pStyle w:val="Normal"/>
        <w:spacing w:lineRule="auto" w:line="360"/>
        <w:rPr/>
      </w:pPr>
      <w:r>
        <w:rPr/>
      </w:r>
    </w:p>
    <w:p>
      <w:pPr>
        <w:pStyle w:val="Normal"/>
        <w:spacing w:lineRule="auto" w:line="360"/>
        <w:rPr/>
      </w:pPr>
      <w:r>
        <w:rPr/>
      </w:r>
    </w:p>
    <w:p>
      <w:pPr>
        <w:pStyle w:val="Normal"/>
        <w:spacing w:lineRule="auto" w:line="360"/>
        <w:rPr>
          <w:b/>
          <w:bCs/>
        </w:rPr>
      </w:pPr>
      <w:r>
        <w:rPr>
          <w:b/>
          <w:bCs/>
        </w:rPr>
        <w:t xml:space="preserve">Hildebrandt’s Study of Wholesale </w:t>
        <w:tab/>
        <w:t>Market Power</w:t>
      </w:r>
    </w:p>
    <w:p>
      <w:pPr>
        <w:pStyle w:val="Normal"/>
        <w:spacing w:lineRule="auto" w:line="360"/>
        <w:rPr>
          <w:b/>
          <w:bCs/>
        </w:rPr>
      </w:pPr>
      <w:r>
        <w:rPr>
          <w:b/>
          <w:bCs/>
        </w:rPr>
      </w:r>
    </w:p>
    <w:p>
      <w:pPr>
        <w:pStyle w:val="Normal"/>
        <w:spacing w:lineRule="auto" w:line="360"/>
        <w:rPr/>
      </w:pPr>
      <w:r>
        <w:rPr/>
        <w:t xml:space="preserve">Hildebrandt’s study examines the entire market for wholesale power in California sold to participating CAISO load for the period May 2000 through February 2001.  Hildebrandt concludes that market during the period was $6.2 billion (Hildebrandt, p. 10).  His analysis is essentially a price-cost analysis and the difference between the two is his measure of market power.  Hildebrandt’s analysis contains many flaws that are described further below.  </w:t>
      </w:r>
    </w:p>
    <w:p>
      <w:pPr>
        <w:pStyle w:val="Normal"/>
        <w:spacing w:lineRule="auto" w:line="360"/>
        <w:rPr/>
      </w:pPr>
      <w:r>
        <w:rPr/>
      </w:r>
    </w:p>
    <w:p>
      <w:pPr>
        <w:pStyle w:val="Normal"/>
        <w:spacing w:lineRule="auto" w:line="360"/>
        <w:rPr/>
      </w:pPr>
      <w:r>
        <w:rPr/>
        <w:t>As a preliminary matter, it must be noted that Hildebrandt’s study is overreaching in scope.  Hildebrandt’s study examined a period of time May 2000 through February 2001—a period that far exceeds the refund notice period put in place by the Commission’s December 15 (or November 1?), 2000 order.  Further, Hildebrandt’s analysis claims to cover the entire wholesale market:  ISO real-time, ancillary services (A/S) [need to check Hildebrandt includes A/S], California Power Exchange, and bilateral trade.  However, the ISO’s jurisdiction extends only to the operation of A/S and real-time markets.   Expanding his analysis in time and in scope severely exaggerates the harm that the CAISO could even begin to conceive of requesting mitigation for and is highly counter productive to the current effort of resolving the supply-demand imbalance in the Western region.</w:t>
      </w:r>
    </w:p>
    <w:p>
      <w:pPr>
        <w:pStyle w:val="Normal"/>
        <w:spacing w:lineRule="auto" w:line="360"/>
        <w:rPr/>
      </w:pPr>
      <w:r>
        <w:rPr/>
      </w:r>
    </w:p>
    <w:p>
      <w:pPr>
        <w:pStyle w:val="Normal"/>
        <w:spacing w:lineRule="auto" w:line="360"/>
        <w:rPr/>
      </w:pPr>
      <w:r>
        <w:rPr/>
        <w:t>Attached is the affidavit of Seabron Adamson PhD, President of Frontier Economics.  Dr. Adamson [summarize affidavit here w.r.t. Hildebrandt]</w:t>
      </w:r>
    </w:p>
    <w:p>
      <w:pPr>
        <w:pStyle w:val="Normal"/>
        <w:spacing w:lineRule="auto" w:line="360"/>
        <w:rPr/>
      </w:pPr>
      <w:r>
        <w:rPr/>
      </w:r>
    </w:p>
    <w:p>
      <w:pPr>
        <w:pStyle w:val="Normal"/>
        <w:spacing w:lineRule="auto" w:line="360"/>
        <w:rPr/>
      </w:pPr>
      <w:r>
        <w:rPr/>
      </w:r>
    </w:p>
    <w:p>
      <w:pPr>
        <w:pStyle w:val="Heading1"/>
        <w:spacing w:lineRule="auto" w:line="360"/>
        <w:ind w:hanging="0" w:start="0"/>
        <w:rPr/>
      </w:pPr>
      <w:r>
        <w:rPr/>
        <w:t>Sheffrin’s Study of Strategic Bidding</w:t>
      </w:r>
    </w:p>
    <w:p>
      <w:pPr>
        <w:pStyle w:val="Normal"/>
        <w:spacing w:lineRule="auto" w:line="360"/>
        <w:rPr/>
      </w:pPr>
      <w:r>
        <w:rPr/>
      </w:r>
    </w:p>
    <w:p>
      <w:pPr>
        <w:pStyle w:val="Normal"/>
        <w:spacing w:lineRule="auto" w:line="360"/>
        <w:rPr/>
      </w:pPr>
      <w:r>
        <w:rPr/>
        <w:t>Sheffrin conducts an analysis of so-called “strategic biding” for the period May – November 2000.  Sheffrin’s analysis attempts to link claims of market power to individual market participant bidding behavior.  Unlike Hildebrandt, Sheffrin considers only the ISO real-time market.  Also, Sheffrin’s analysis period is shorter, from May to November 2000, inclusive.  Sheffrin’s analysis is not a general price-cost analysis like Hildebrandt’s but instead attempts to specifically identify market participants that caused clearing prices to be above cost.  Specifically, this analysis “only include[s] excess profit attributable to the supplier’s own activity and include[s] only suppliers in the study.”  The analysis claims to be supplier-specific.  Sheffrin identifies five in-state suppliers and nine importers.  Company names have been masked in the publicly released version of the study.  Per the study, the total monopoly rents attributable to suppliers is $505 million.  The associated “market power,” presumably the difference between price and “cost,” in the real-time market for the same period was $1.19 billion. Of the $505 million in supplier-specific monopoly, approximately $324 million is claimed to be the result of “out-of-state” generators.  Monopoly rents according to Sheffrin, are possible due to a pattern of economic and uneconomic withholding practiced by the identified generators.</w:t>
      </w:r>
    </w:p>
    <w:p>
      <w:pPr>
        <w:pStyle w:val="Normal"/>
        <w:spacing w:lineRule="auto" w:line="360"/>
        <w:rPr/>
      </w:pPr>
      <w:r>
        <w:rPr/>
      </w:r>
    </w:p>
    <w:p>
      <w:pPr>
        <w:pStyle w:val="Normal"/>
        <w:spacing w:lineRule="auto" w:line="360"/>
        <w:rPr/>
      </w:pPr>
      <w:r>
        <w:rPr/>
        <w:t>Before getting into specific deficiencies in the Sheffrin analysis, EPMI notes that it cannot fully analyze the study presented because the study simply has not been fully presented.  This study is supplier-specific and is based on individual supplier bid data and costs. EPMI has no reason to believe that it is one of the named suppliers in the analysis.  EPMI controls no power in the state of California that is sold at market-based rates and thus concludes that it cannot be one of the named in-state generators.  EPMI scheduled power into the ISO real-time markets as an importer during the study period but generally did so as a price taker and therefore concludes that the large majority of its transactions would not have been considered by Sheffrin.  But until EPMI has the data used by CAISO, it cannot independently verify or refute any of Sheffrin’s results.</w:t>
      </w:r>
    </w:p>
    <w:p>
      <w:pPr>
        <w:pStyle w:val="Normal"/>
        <w:spacing w:lineRule="auto" w:line="360"/>
        <w:rPr/>
      </w:pPr>
      <w:r>
        <w:rPr/>
      </w:r>
    </w:p>
    <w:p>
      <w:pPr>
        <w:pStyle w:val="Normal"/>
        <w:spacing w:lineRule="auto" w:line="360"/>
        <w:rPr/>
      </w:pPr>
      <w:r>
        <w:rPr/>
        <w:t>In Dr. Adamson’s affidavit, [summarize affidavit here w.r.t. Sheffrin.]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2001-04-04T22:12:00Z</dcterms:created>
  <dc:creator>acomnes</dc:creator>
  <dc:description/>
  <dc:language>en-CA</dc:language>
  <cp:lastModifiedBy>acomnes</cp:lastModifiedBy>
  <dcterms:modified xsi:type="dcterms:W3CDTF">2001-04-06T20:22:00Z</dcterms:modified>
  <cp:revision>32</cp:revision>
  <dc:subject/>
  <dc:title>Rebuttal to ISO’s Comments on Market Stabilization</dc:title>
</cp:coreProperties>
</file>