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UNITED STATES OF AMERICA</w:t>
      </w:r>
    </w:p>
    <w:p>
      <w:pPr>
        <w:pStyle w:val="Normal"/>
        <w:jc w:val="center"/>
        <w:rPr>
          <w:b/>
          <w:sz w:val="24"/>
        </w:rPr>
      </w:pPr>
      <w:r>
        <w:rPr>
          <w:b/>
          <w:sz w:val="24"/>
        </w:rPr>
        <w:t>BEFORE THE</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rPr>
          <w:sz w:val="24"/>
        </w:rPr>
      </w:pPr>
      <w:r>
        <w:rPr>
          <w:sz w:val="24"/>
        </w:rPr>
        <w:t>TRANSWESTERN PIPELINE COMPANY</w:t>
        <w:tab/>
        <w:tab/>
        <w:t>)</w:t>
        <w:tab/>
        <w:t>Docket No. RP01-56-000</w:t>
      </w:r>
    </w:p>
    <w:p>
      <w:pPr>
        <w:pStyle w:val="Normal"/>
        <w:jc w:val="center"/>
        <w:rPr>
          <w:b/>
          <w:sz w:val="24"/>
        </w:rPr>
      </w:pPr>
      <w:r>
        <w:rPr>
          <w:b/>
          <w:sz w:val="24"/>
        </w:rPr>
      </w:r>
    </w:p>
    <w:p>
      <w:pPr>
        <w:pStyle w:val="Normal"/>
        <w:jc w:val="center"/>
        <w:rPr>
          <w:b/>
          <w:sz w:val="24"/>
        </w:rPr>
      </w:pPr>
      <w:r>
        <w:rPr>
          <w:b/>
          <w:sz w:val="24"/>
        </w:rPr>
        <w:t xml:space="preserve">TRANSWESTERN PIPELINE COMPANY'S </w:t>
      </w:r>
    </w:p>
    <w:p>
      <w:pPr>
        <w:pStyle w:val="Normal"/>
        <w:jc w:val="center"/>
        <w:rPr>
          <w:b/>
          <w:sz w:val="24"/>
        </w:rPr>
      </w:pPr>
      <w:r>
        <w:rPr>
          <w:b/>
          <w:sz w:val="24"/>
        </w:rPr>
        <w:t xml:space="preserve">ANSWER TO PROTESTS </w:t>
      </w:r>
    </w:p>
    <w:p>
      <w:pPr>
        <w:pStyle w:val="Normal"/>
        <w:jc w:val="center"/>
        <w:rPr>
          <w:b/>
          <w:sz w:val="24"/>
        </w:rPr>
      </w:pPr>
      <w:r>
        <w:rPr>
          <w:b/>
          <w:sz w:val="24"/>
        </w:rPr>
      </w:r>
    </w:p>
    <w:p>
      <w:pPr>
        <w:pStyle w:val="Normal"/>
        <w:spacing w:lineRule="auto" w:line="360"/>
        <w:jc w:val="both"/>
        <w:rPr/>
      </w:pPr>
      <w:r>
        <w:rPr>
          <w:sz w:val="24"/>
        </w:rPr>
        <w:tab/>
        <w:t>Pursuant to Rule 213 of the Federal Energy Regulatory Commission's (Commission) Rules of Practice and Procedure, Transwestern Pipeline Company (Transwestern) submits its answer</w:t>
      </w:r>
      <w:r>
        <w:rPr>
          <w:rStyle w:val="FootnoteCharacters"/>
          <w:rStyle w:val="FootnoteReference"/>
          <w:sz w:val="24"/>
        </w:rPr>
        <w:footnoteReference w:id="2"/>
      </w:r>
      <w:r>
        <w:rPr>
          <w:sz w:val="24"/>
        </w:rPr>
        <w:t xml:space="preserve"> to the protests of Dynegy Marketing and Trade (Dynegy), Pacific Gas and Electric Company (PG&amp;E), Southern California Gas Company and Sempra Energy Trading Corp. (collectively, Sempra), and the Motions to Intervene and Leave to Protest of Amoco Production Company and BP Energy Company (Amoco), Burlington Resources Oil &amp; Gas Company (Burlington), Conoco Inc. (Conoco) and Marathon Oil Company (Marathon).  This answer responds to erroneous statements in the protests and clarifies certain issues raised in these pleadings.</w:t>
      </w:r>
    </w:p>
    <w:p>
      <w:pPr>
        <w:pStyle w:val="Heading1"/>
        <w:ind w:hanging="0" w:start="0"/>
        <w:rPr/>
      </w:pPr>
      <w:r>
        <w:rPr/>
        <w:t>A.</w:t>
      </w:r>
    </w:p>
    <w:p>
      <w:pPr>
        <w:pStyle w:val="Heading1"/>
        <w:ind w:hanging="0" w:start="0"/>
        <w:rPr/>
      </w:pPr>
      <w:r>
        <w:rPr/>
        <w:t>BACKGROUND</w:t>
      </w:r>
    </w:p>
    <w:p>
      <w:pPr>
        <w:pStyle w:val="FootnoteText"/>
        <w:spacing w:lineRule="auto" w:line="360"/>
        <w:jc w:val="both"/>
        <w:rPr>
          <w:b/>
          <w:sz w:val="24"/>
        </w:rPr>
      </w:pPr>
      <w:r>
        <w:rPr>
          <w:sz w:val="24"/>
        </w:rPr>
        <w:tab/>
        <w:t>On October 17, 2000, Transwestern submitted tariff sheets to be effective December 1, 2000 to amend the General Terms and Conditions of its tariff to provide its firm shippers with the ability to enter into options to call on firm transportation capacity at a specified future date and options to terminate all or a portion of an existing service agreement at a specified future date. The tariff provisions are intended to provide additional tools to address the timing aspect of capacity contracting decisions that face both shippers and Transwestern.  Shipper call options would give the shipper the right to call on capacity at a set date in the future at a set price.  A shipper put option would allow a shipper to terminate an agreement as to all or some of its capacity by a specified future date.  Under a transporter put option, a shipper could agree to take available pipeline capacity at a future date and at a set price.  A transporter call would commit the shipper, if requested by Transwestern by a specified date, to terminate the contract as to some or all of the capacity.</w:t>
      </w:r>
    </w:p>
    <w:p>
      <w:pPr>
        <w:pStyle w:val="FootnoteText"/>
        <w:spacing w:lineRule="auto" w:line="360"/>
        <w:jc w:val="center"/>
        <w:rPr>
          <w:b/>
          <w:sz w:val="24"/>
        </w:rPr>
      </w:pPr>
      <w:r>
        <w:rPr>
          <w:b/>
          <w:sz w:val="24"/>
        </w:rPr>
        <w:t>B.</w:t>
      </w:r>
    </w:p>
    <w:p>
      <w:pPr>
        <w:pStyle w:val="FootnoteText"/>
        <w:spacing w:lineRule="auto" w:line="360"/>
        <w:jc w:val="center"/>
        <w:rPr>
          <w:sz w:val="24"/>
        </w:rPr>
      </w:pPr>
      <w:r>
        <w:rPr>
          <w:b/>
          <w:sz w:val="24"/>
        </w:rPr>
        <w:t>ANSWER</w:t>
      </w:r>
    </w:p>
    <w:p>
      <w:pPr>
        <w:pStyle w:val="FootnoteText"/>
        <w:spacing w:lineRule="auto" w:line="360"/>
        <w:jc w:val="both"/>
        <w:rPr>
          <w:sz w:val="24"/>
        </w:rPr>
      </w:pPr>
      <w:r>
        <w:rPr>
          <w:sz w:val="24"/>
        </w:rPr>
        <w:tab/>
        <w:t xml:space="preserve">It is important to point out that while seven parties protested the application, no party disputes that Transwestern's capacity options proposal will help shippers manage the timing of contracting decisions.  Three of the protests acknowledge that the proposal is innovative, but raise specific questions or suggest enhancements.  Transwestern provides factual information in this answer to respond to these issues. </w:t>
      </w:r>
    </w:p>
    <w:p>
      <w:pPr>
        <w:pStyle w:val="FootnoteText"/>
        <w:spacing w:lineRule="auto" w:line="360"/>
        <w:jc w:val="both"/>
        <w:rPr>
          <w:sz w:val="24"/>
        </w:rPr>
      </w:pPr>
      <w:r>
        <w:rPr>
          <w:sz w:val="24"/>
        </w:rPr>
        <w:t xml:space="preserve"> </w:t>
      </w:r>
      <w:r>
        <w:rPr>
          <w:sz w:val="24"/>
        </w:rPr>
        <w:tab/>
        <w:t xml:space="preserve">In contrast, four parties, Amoco, Burlington, Conoco and Marathon, submitted motions for leave to protest essentially expressing that they want to protest, but aren't yet sure what to protest about.   Transwestern objects to this posturing.  Prior to submitting the application and mindful of the Commission's admonishment on working with shippers prior to filing new services, Transwestern held a series of shipper meetings and workshops and provided advance copies of the filing.  The sessions were attended by representatives of three of the four subject companies.  In fact, Transwestern made certain adjustments to the filing to address concerns raised during discussion at the meetings.   Transwestern understood that notwithstanding the shipper meetings and modifications to the filing that certain issues would be raised in comments and protests. Transwestern nevertheless objects to these companies' manipulation of the Commission's procedural rules to obtain more time to prepare a protest based on the thin excuse that "key personnel" have been unavailable to form an opinion of the filing, since each of the subject companies was given advance notice of Transwestern's filing and an opportunity to influence it.  </w:t>
      </w:r>
    </w:p>
    <w:p>
      <w:pPr>
        <w:pStyle w:val="FootnoteText"/>
        <w:spacing w:lineRule="auto" w:line="360"/>
        <w:jc w:val="both"/>
        <w:rPr>
          <w:sz w:val="24"/>
        </w:rPr>
      </w:pPr>
      <w:r>
        <w:rPr>
          <w:sz w:val="24"/>
        </w:rPr>
        <w:tab/>
        <w:t>With respect to the specific questions and issues raised in the protests filed by Dynegy, Sempra  and PG&amp;E, Transwestern offers these answers:</w:t>
      </w:r>
    </w:p>
    <w:p>
      <w:pPr>
        <w:pStyle w:val="FootnoteText"/>
        <w:spacing w:lineRule="auto" w:line="360"/>
        <w:jc w:val="both"/>
        <w:rPr>
          <w:sz w:val="24"/>
        </w:rPr>
      </w:pPr>
      <w:r>
        <w:rPr>
          <w:sz w:val="24"/>
        </w:rPr>
      </w:r>
    </w:p>
    <w:p>
      <w:pPr>
        <w:pStyle w:val="FootnoteText"/>
        <w:spacing w:lineRule="auto" w:line="360"/>
        <w:jc w:val="both"/>
        <w:rPr>
          <w:b/>
          <w:sz w:val="24"/>
        </w:rPr>
      </w:pPr>
      <w:r>
        <w:rPr>
          <w:b/>
          <w:sz w:val="24"/>
        </w:rPr>
        <w:t>1.  Options apply only to available capacity.</w:t>
      </w:r>
    </w:p>
    <w:p>
      <w:pPr>
        <w:pStyle w:val="FootnoteText"/>
        <w:spacing w:lineRule="auto" w:line="360"/>
        <w:jc w:val="both"/>
        <w:rPr>
          <w:sz w:val="24"/>
        </w:rPr>
      </w:pPr>
      <w:r>
        <w:rPr>
          <w:sz w:val="24"/>
        </w:rPr>
        <w:tab/>
        <w:t xml:space="preserve">Sempra seeks clarification that the transport option program is intended to apply solely to unsubscribed capacity.  Protest at 5.  As explained in the filing, options will only be sold on available, unsubscribed firm capacity. </w:t>
      </w:r>
    </w:p>
    <w:p>
      <w:pPr>
        <w:pStyle w:val="FootnoteText"/>
        <w:spacing w:lineRule="auto" w:line="360"/>
        <w:jc w:val="both"/>
        <w:rPr>
          <w:b/>
          <w:sz w:val="24"/>
        </w:rPr>
      </w:pPr>
      <w:r>
        <w:rPr>
          <w:b/>
          <w:sz w:val="24"/>
        </w:rPr>
      </w:r>
    </w:p>
    <w:p>
      <w:pPr>
        <w:pStyle w:val="FootnoteText"/>
        <w:ind w:hanging="360" w:start="360" w:end="0"/>
        <w:jc w:val="both"/>
        <w:rPr>
          <w:b/>
          <w:sz w:val="24"/>
        </w:rPr>
      </w:pPr>
      <w:r>
        <w:rPr>
          <w:b/>
          <w:sz w:val="24"/>
        </w:rPr>
        <w:t>2. Transwestern's filing neither precludes a secondary market for options nor interferes with shippers' ability to use capacity release.</w:t>
      </w:r>
    </w:p>
    <w:p>
      <w:pPr>
        <w:pStyle w:val="FootnoteText"/>
        <w:spacing w:lineRule="auto" w:line="360"/>
        <w:jc w:val="both"/>
        <w:rPr>
          <w:b/>
          <w:sz w:val="24"/>
        </w:rPr>
      </w:pPr>
      <w:r>
        <w:rPr>
          <w:b/>
          <w:sz w:val="24"/>
        </w:rPr>
      </w:r>
    </w:p>
    <w:p>
      <w:pPr>
        <w:pStyle w:val="FootnoteText"/>
        <w:spacing w:lineRule="auto" w:line="360"/>
        <w:jc w:val="both"/>
        <w:rPr/>
      </w:pPr>
      <w:r>
        <w:rPr>
          <w:sz w:val="24"/>
        </w:rPr>
        <w:tab/>
        <w:t>PG&amp;E erroneously states that there will be no secondary market for options.  Protest at 3.  In fact, as stated in Transwestern's filing, options can be released and assigned.  The only limitation is that such release or assignment must be in the context of the release or assignment of the underlying firm transportation agreement pursuant to the appropriate tariff provisions.   Sempra states that "[i]t is unclear why firm shippers should not be allowed to trade Transport Options."  Protest at 5.  Transwestern does not intend for options to be traded as purely paper transactions (</w:t>
      </w:r>
      <w:r>
        <w:rPr>
          <w:i/>
          <w:sz w:val="24"/>
        </w:rPr>
        <w:t>i.e.</w:t>
      </w:r>
      <w:r>
        <w:rPr>
          <w:sz w:val="24"/>
        </w:rPr>
        <w:t>, separately from the underlying physical capacity).  Options can be sold only to "shippers" as defined in the proposed tariff sheets.  If options on Transwestern capacity are sold to parties that do not fall within the definition of "shipper," the trading of such options could become activity within the jurisdiction of the Commodities Futures Trading Commission.  It is not Transwestern's intention to initiate such activity at this time.</w:t>
      </w:r>
    </w:p>
    <w:p>
      <w:pPr>
        <w:pStyle w:val="FootnoteText"/>
        <w:spacing w:lineRule="auto" w:line="360"/>
        <w:jc w:val="both"/>
        <w:rPr>
          <w:sz w:val="24"/>
        </w:rPr>
      </w:pPr>
      <w:r>
        <w:rPr>
          <w:sz w:val="24"/>
        </w:rPr>
        <w:tab/>
        <w:t>PG&amp;E overgeneralizes when it states that "[s]ales of capacity from an existing shipper appear to be similar to existing capacity releases or turnbacks."  Protest at 3.  PG&amp;E is referring to shipper puts, which would give shippers the ability to terminate their firm service agreements with Transwestern as to all or some of their existing capacity.  Put options differ from capacity release or turnback in several ways.  First of all, capacity release does not guarantee shippers the ability to relinquish any capacity.  While all shippers on Transwestern may post capacity to be released, doing so does not guarantee that any replacement shipper will take the capacity.  Additionally, there is no guarantee that the posted capacity will be resold at the price desired by the releasing shipper.  On the other hand, put options allow shippers to contract with Transwestern in advance for the right to terminate some or all of its firm transportation capacity for fixed consideration.  Most importantly, Transwestern anticipates that put options will be used by shippers for strategic, long-term planning purposes, which distinguishes options from capacity release that are more frequently used for shorter-term operational purposes or to mitigate demand charges on a day to day basis.</w:t>
      </w:r>
    </w:p>
    <w:p>
      <w:pPr>
        <w:pStyle w:val="FootnoteText"/>
        <w:spacing w:lineRule="auto" w:line="360"/>
        <w:jc w:val="both"/>
        <w:rPr>
          <w:sz w:val="24"/>
        </w:rPr>
      </w:pPr>
      <w:r>
        <w:rPr>
          <w:sz w:val="24"/>
        </w:rPr>
        <w:t xml:space="preserve"> </w:t>
      </w:r>
    </w:p>
    <w:p>
      <w:pPr>
        <w:pStyle w:val="FootnoteText"/>
        <w:spacing w:lineRule="auto" w:line="360"/>
        <w:jc w:val="both"/>
        <w:rPr>
          <w:b/>
          <w:sz w:val="24"/>
        </w:rPr>
      </w:pPr>
      <w:r>
        <w:rPr>
          <w:b/>
          <w:sz w:val="24"/>
        </w:rPr>
        <w:t>3.  The option fee will be a component of tariff rates for firm service.</w:t>
      </w:r>
    </w:p>
    <w:p>
      <w:pPr>
        <w:pStyle w:val="FootnoteText"/>
        <w:spacing w:lineRule="auto" w:line="360"/>
        <w:jc w:val="both"/>
        <w:rPr>
          <w:sz w:val="24"/>
        </w:rPr>
      </w:pPr>
      <w:r>
        <w:rPr>
          <w:sz w:val="24"/>
        </w:rPr>
        <w:tab/>
        <w:t xml:space="preserve">PG&amp;E also states that Transwestern does not explain the rates to be charged, which is incorrect.  Protest at 3.  Transwestern explained in its filing that the rate for options will be a separately stated component of the existing cost-based rates in Transwestern's tariff.  Sempra states that the base transport rate plus the option fee component could exceed the maximum tariff rate and therefore be considered a negotiated rate.  Protest at 4.  Transwestern agrees.  As Transwestern has already pointed out in its filing, it has authority to charge negotiated rates and will treat any negotiated rates in accordance with Commission rules and policy. </w:t>
      </w:r>
    </w:p>
    <w:p>
      <w:pPr>
        <w:pStyle w:val="FootnoteText"/>
        <w:spacing w:lineRule="auto" w:line="360"/>
        <w:jc w:val="both"/>
        <w:rPr>
          <w:sz w:val="24"/>
        </w:rPr>
      </w:pPr>
      <w:r>
        <w:rPr>
          <w:sz w:val="24"/>
        </w:rPr>
        <w:tab/>
        <w:t xml:space="preserve">Sempra seeks clarification of "how Transwestern intends to calculate the Transport Option fee component of the base transportation rate."  Protest at 4.  As Transwestern explains in its filing, consistent with Transwestern's ability to both charge discounted rates and to negotiate rates, the option fee will be determined by the value or rate a shipper is willing to pay for the option.  </w:t>
      </w:r>
    </w:p>
    <w:p>
      <w:pPr>
        <w:pStyle w:val="FootnoteText"/>
        <w:spacing w:lineRule="auto" w:line="360"/>
        <w:jc w:val="both"/>
        <w:rPr>
          <w:sz w:val="24"/>
        </w:rPr>
      </w:pPr>
      <w:r>
        <w:rPr>
          <w:sz w:val="24"/>
        </w:rPr>
      </w:r>
    </w:p>
    <w:p>
      <w:pPr>
        <w:pStyle w:val="FootnoteText"/>
        <w:spacing w:lineRule="auto" w:line="360"/>
        <w:jc w:val="both"/>
        <w:rPr>
          <w:b/>
          <w:sz w:val="24"/>
        </w:rPr>
      </w:pPr>
      <w:r>
        <w:rPr>
          <w:b/>
          <w:sz w:val="24"/>
        </w:rPr>
        <w:t>4.  Shipper call options will be awarded based on highest rate.</w:t>
      </w:r>
    </w:p>
    <w:p>
      <w:pPr>
        <w:pStyle w:val="FootnoteText"/>
        <w:spacing w:lineRule="auto" w:line="360"/>
        <w:jc w:val="both"/>
        <w:rPr>
          <w:sz w:val="24"/>
        </w:rPr>
      </w:pPr>
      <w:r>
        <w:rPr>
          <w:sz w:val="24"/>
        </w:rPr>
        <w:tab/>
        <w:t xml:space="preserve">Prior to the deadline for filing interventions, Transwestern received a request from Commission staff for clarification of the criteria for awarding of Shipper call options.  The procedure will be as follows:  an advance posting will specify the term of the available option, term of transportation service, transportation volume, and instructions for bidding.  Shipper call options will be awarded based upon the highest rate payable for the option component.  </w:t>
      </w:r>
    </w:p>
    <w:p>
      <w:pPr>
        <w:pStyle w:val="FootnoteText"/>
        <w:spacing w:lineRule="auto" w:line="360"/>
        <w:jc w:val="both"/>
        <w:rPr>
          <w:sz w:val="24"/>
        </w:rPr>
      </w:pPr>
      <w:r>
        <w:rPr>
          <w:sz w:val="24"/>
        </w:rPr>
      </w:r>
    </w:p>
    <w:p>
      <w:pPr>
        <w:pStyle w:val="FootnoteText"/>
        <w:spacing w:lineRule="auto" w:line="360"/>
        <w:jc w:val="both"/>
        <w:rPr>
          <w:b/>
          <w:sz w:val="24"/>
        </w:rPr>
      </w:pPr>
      <w:r>
        <w:rPr>
          <w:b/>
          <w:sz w:val="24"/>
        </w:rPr>
        <w:t>5.  Options transactions will comply with Commission policy on transparency.</w:t>
      </w:r>
    </w:p>
    <w:p>
      <w:pPr>
        <w:pStyle w:val="FootnoteText"/>
        <w:spacing w:lineRule="auto" w:line="360"/>
        <w:jc w:val="both"/>
        <w:rPr>
          <w:sz w:val="24"/>
        </w:rPr>
      </w:pPr>
      <w:r>
        <w:rPr>
          <w:sz w:val="24"/>
        </w:rPr>
        <w:tab/>
        <w:t>PG&amp;E inquires about reporting requirements for options.  Transwestern will comply with the transactional reporting requirements of Order No. 637, and will report the option amendment and applicable fee, as well as any other terms and conditions of the subject transaction, in the transactional reporting section of its website in full compliance with the applicable requirements of Order 637.</w:t>
      </w:r>
    </w:p>
    <w:p>
      <w:pPr>
        <w:pStyle w:val="FootnoteText"/>
        <w:spacing w:lineRule="auto" w:line="360"/>
        <w:jc w:val="both"/>
        <w:rPr>
          <w:b/>
          <w:sz w:val="24"/>
        </w:rPr>
      </w:pPr>
      <w:r>
        <w:rPr>
          <w:b/>
          <w:sz w:val="24"/>
        </w:rPr>
      </w:r>
    </w:p>
    <w:p>
      <w:pPr>
        <w:pStyle w:val="FootnoteText"/>
        <w:spacing w:lineRule="auto" w:line="360"/>
        <w:jc w:val="both"/>
        <w:rPr>
          <w:b/>
          <w:sz w:val="24"/>
        </w:rPr>
      </w:pPr>
      <w:r>
        <w:rPr>
          <w:b/>
          <w:sz w:val="24"/>
        </w:rPr>
        <w:t>6.  Options transactions will not affect existing firm contracts.</w:t>
      </w:r>
    </w:p>
    <w:p>
      <w:pPr>
        <w:pStyle w:val="FootnoteText"/>
        <w:spacing w:lineRule="auto" w:line="360"/>
        <w:jc w:val="both"/>
        <w:rPr>
          <w:sz w:val="24"/>
        </w:rPr>
      </w:pPr>
      <w:r>
        <w:rPr>
          <w:sz w:val="24"/>
        </w:rPr>
        <w:tab/>
        <w:t>Sempra asks, "If Transwestern has optioned off capacity over which the existing firm shipper has ROFR rights and the Transport Option and ROFR option are exercised concurrently, which option would have priority?"  Transwestern has previously answered that the sale of transportation options will be for available capacity only.  Transwestern does not consider capacity that is subject to ROFR rights to be "available" capacity for options.  Thus, options will in no way diminish shippers' ability to exercise their ROFR rights under existing contracts.</w:t>
      </w:r>
    </w:p>
    <w:p>
      <w:pPr>
        <w:pStyle w:val="FootnoteText"/>
        <w:spacing w:lineRule="auto" w:line="360"/>
        <w:jc w:val="both"/>
        <w:rPr>
          <w:b/>
          <w:sz w:val="24"/>
        </w:rPr>
      </w:pPr>
      <w:r>
        <w:rPr>
          <w:b/>
          <w:sz w:val="24"/>
        </w:rPr>
      </w:r>
    </w:p>
    <w:p>
      <w:pPr>
        <w:pStyle w:val="FootnoteText"/>
        <w:ind w:hanging="360" w:start="360" w:end="0"/>
        <w:jc w:val="both"/>
        <w:rPr>
          <w:b/>
          <w:sz w:val="24"/>
        </w:rPr>
      </w:pPr>
      <w:r>
        <w:rPr>
          <w:b/>
          <w:sz w:val="24"/>
        </w:rPr>
        <w:t>7.  Transwestern's proposal is consistent with the Commission's rules on marketing affiliates.</w:t>
      </w:r>
    </w:p>
    <w:p>
      <w:pPr>
        <w:pStyle w:val="FootnoteText"/>
        <w:ind w:hanging="360" w:start="360" w:end="0"/>
        <w:jc w:val="both"/>
        <w:rPr>
          <w:b/>
          <w:sz w:val="24"/>
        </w:rPr>
      </w:pPr>
      <w:r>
        <w:rPr>
          <w:b/>
          <w:sz w:val="24"/>
        </w:rPr>
      </w:r>
    </w:p>
    <w:p>
      <w:pPr>
        <w:pStyle w:val="FootnoteText"/>
        <w:spacing w:lineRule="auto" w:line="360"/>
        <w:jc w:val="both"/>
        <w:rPr>
          <w:sz w:val="24"/>
        </w:rPr>
      </w:pPr>
      <w:r>
        <w:rPr>
          <w:sz w:val="24"/>
        </w:rPr>
        <w:tab/>
        <w:t xml:space="preserve">Dynegy expresses concern that the implementation of a transport options program on Transwestern will somehow open the door for abuse by Transwestern's marketing affiliates.  This argument is flawed for several reasons.  First of all, there is no evidence of any pattern of abuse by Transwestern with regard to sale of transportation services to its marketing affiliates.  The options proposal does not violate any Commission rule regarding marketing affiliates, and Transwestern should be entitled to a presumption that it will comply with the Commission's rules on sales of transportation capacity to marketing affiliates and the nondiscriminatory awarding of capacity.  Additionally, Dynegy's arguments are general enough to amount to a collateral attack on the Commission's marketing affiliate rules, and thus should be addressed in a separate proceeding.  Dynegy has advanced these same generic issues in the Commission's industry-wide collaborative proceeding and obviously believes the issues will be resolved there.  Further, Dynegy fails to prove that the proposed implementation of a transport options program by Transwestern presents any greater risk of affiliate abuse than the sale of transportation services in general by any interstate pipeline.  Dynegy's protest appears to be a an appeal to the Commission for tighter restrictions on the sale of pipeline transportation services to marketing affiliates in general, and it would therefore be inappropriate and unfair to use Transwestern's options proposal as the forum in which to address Dynegy's issues.  Transwestern therefore respectfully requests that the Commission reject Dynegy's protest.    </w:t>
      </w:r>
    </w:p>
    <w:p>
      <w:pPr>
        <w:pStyle w:val="FootnoteText"/>
        <w:spacing w:lineRule="auto" w:line="360"/>
        <w:jc w:val="center"/>
        <w:rPr>
          <w:b/>
          <w:sz w:val="24"/>
        </w:rPr>
      </w:pPr>
      <w:r>
        <w:rPr>
          <w:b/>
          <w:sz w:val="24"/>
        </w:rPr>
        <w:t>C.</w:t>
      </w:r>
    </w:p>
    <w:p>
      <w:pPr>
        <w:pStyle w:val="FootnoteText"/>
        <w:spacing w:lineRule="auto" w:line="360"/>
        <w:jc w:val="center"/>
        <w:rPr>
          <w:b/>
          <w:sz w:val="24"/>
        </w:rPr>
      </w:pPr>
      <w:r>
        <w:rPr>
          <w:b/>
          <w:sz w:val="24"/>
        </w:rPr>
        <w:t>CONCLUSION</w:t>
      </w:r>
    </w:p>
    <w:p>
      <w:pPr>
        <w:pStyle w:val="BodyText3"/>
        <w:jc w:val="both"/>
        <w:rPr/>
      </w:pPr>
      <w:r>
        <w:rPr/>
        <w:tab/>
        <w:t>Transwestern believes that its initial filing and this answer provide sufficient information to clarify the issues raised by the parties.  Accordingly, the protests filed in this proceeding should be denied.  However, to the extent that a technical conference would assist the Commission in making a determination in this proceeding, Transwestern does not oppose the protestors' requests for a technical conference.  However, to assist in preparation for a technical conference, Transwestern requests that the Commission require the parties to submit any remaining issues in writing prior to the conference.</w:t>
      </w:r>
    </w:p>
    <w:p>
      <w:pPr>
        <w:pStyle w:val="BodyText3"/>
        <w:jc w:val="both"/>
        <w:rPr/>
      </w:pPr>
      <w:r>
        <w:rPr/>
        <w:tab/>
        <w:t>As explained herein, Dynegy's protest should be denied because it raises policy issues that are applicable to all interstate pipelines and that are therefore inappropriate to address in this proceeding.</w:t>
      </w:r>
    </w:p>
    <w:p>
      <w:pPr>
        <w:pStyle w:val="Normal"/>
        <w:spacing w:lineRule="auto" w:line="360"/>
        <w:jc w:val="both"/>
        <w:rPr>
          <w:sz w:val="24"/>
        </w:rPr>
      </w:pPr>
      <w:r>
        <w:rPr>
          <w:sz w:val="24"/>
        </w:rPr>
        <w:tab/>
        <w:tab/>
        <w:tab/>
        <w:tab/>
        <w:tab/>
        <w:tab/>
        <w:t>Respectfully submitted,</w:t>
      </w:r>
    </w:p>
    <w:p>
      <w:pPr>
        <w:pStyle w:val="Normal"/>
        <w:spacing w:lineRule="auto" w:line="360"/>
        <w:jc w:val="both"/>
        <w:rPr>
          <w:sz w:val="24"/>
        </w:rPr>
      </w:pPr>
      <w:r>
        <w:rPr>
          <w:sz w:val="24"/>
        </w:rPr>
        <w:tab/>
        <w:tab/>
        <w:tab/>
        <w:tab/>
        <w:tab/>
        <w:tab/>
        <w:t>TRANSWESTERN PIPELINE COMPANY</w:t>
      </w:r>
    </w:p>
    <w:p>
      <w:pPr>
        <w:pStyle w:val="Normal"/>
        <w:jc w:val="both"/>
        <w:rPr>
          <w:sz w:val="24"/>
        </w:rPr>
      </w:pPr>
      <w:r>
        <w:rPr>
          <w:sz w:val="24"/>
        </w:rPr>
        <w:tab/>
        <w:tab/>
        <w:tab/>
        <w:tab/>
        <w:tab/>
        <w:tab/>
      </w:r>
    </w:p>
    <w:p>
      <w:pPr>
        <w:pStyle w:val="Normal"/>
        <w:jc w:val="both"/>
        <w:rPr>
          <w:sz w:val="24"/>
        </w:rPr>
      </w:pPr>
      <w:r>
        <w:rPr>
          <w:sz w:val="24"/>
        </w:rPr>
        <w:tab/>
        <w:tab/>
        <w:tab/>
        <w:tab/>
        <w:tab/>
        <w:tab/>
        <w:t xml:space="preserve">___________________________________ </w:t>
      </w:r>
    </w:p>
    <w:p>
      <w:pPr>
        <w:pStyle w:val="Normal"/>
        <w:jc w:val="both"/>
        <w:rPr>
          <w:sz w:val="24"/>
        </w:rPr>
      </w:pPr>
      <w:r>
        <w:rPr>
          <w:sz w:val="24"/>
        </w:rPr>
        <w:tab/>
        <w:tab/>
        <w:tab/>
        <w:tab/>
        <w:tab/>
        <w:tab/>
        <w:t>Susan Scott</w:t>
      </w:r>
    </w:p>
    <w:p>
      <w:pPr>
        <w:pStyle w:val="Normal"/>
        <w:jc w:val="both"/>
        <w:rPr>
          <w:sz w:val="24"/>
        </w:rPr>
      </w:pPr>
      <w:r>
        <w:rPr>
          <w:sz w:val="24"/>
        </w:rPr>
        <w:tab/>
        <w:tab/>
        <w:tab/>
        <w:tab/>
        <w:tab/>
        <w:tab/>
        <w:t>Senior Counsel</w:t>
      </w:r>
    </w:p>
    <w:p>
      <w:pPr>
        <w:pStyle w:val="Normal"/>
        <w:jc w:val="both"/>
        <w:rPr>
          <w:sz w:val="24"/>
        </w:rPr>
      </w:pPr>
      <w:r>
        <w:rPr>
          <w:sz w:val="24"/>
        </w:rPr>
        <w:tab/>
        <w:tab/>
        <w:tab/>
        <w:tab/>
        <w:tab/>
        <w:tab/>
        <w:t>Transwestern Pipeline Company</w:t>
      </w:r>
    </w:p>
    <w:p>
      <w:pPr>
        <w:pStyle w:val="Normal"/>
        <w:jc w:val="both"/>
        <w:rPr>
          <w:sz w:val="24"/>
        </w:rPr>
      </w:pPr>
      <w:r>
        <w:rPr>
          <w:sz w:val="24"/>
        </w:rPr>
        <w:tab/>
        <w:tab/>
        <w:tab/>
        <w:tab/>
        <w:tab/>
        <w:tab/>
        <w:t>P.O. Box 1188</w:t>
      </w:r>
    </w:p>
    <w:p>
      <w:pPr>
        <w:pStyle w:val="Normal"/>
        <w:jc w:val="both"/>
        <w:rPr>
          <w:sz w:val="24"/>
        </w:rPr>
      </w:pPr>
      <w:r>
        <w:rPr>
          <w:sz w:val="24"/>
        </w:rPr>
        <w:tab/>
        <w:tab/>
        <w:tab/>
        <w:tab/>
        <w:tab/>
        <w:tab/>
        <w:t>Houston, Texas 77251-1188</w:t>
      </w:r>
    </w:p>
    <w:p>
      <w:pPr>
        <w:pStyle w:val="Normal"/>
        <w:jc w:val="both"/>
        <w:rPr>
          <w:sz w:val="24"/>
        </w:rPr>
      </w:pPr>
      <w:r>
        <w:rPr>
          <w:sz w:val="24"/>
        </w:rPr>
        <w:tab/>
        <w:tab/>
        <w:tab/>
        <w:tab/>
        <w:tab/>
        <w:tab/>
        <w:t>(713) 853-0596</w:t>
      </w:r>
    </w:p>
    <w:p>
      <w:pPr>
        <w:pStyle w:val="Normal"/>
        <w:jc w:val="both"/>
        <w:rPr>
          <w:sz w:val="24"/>
        </w:rPr>
      </w:pPr>
      <w:r>
        <w:rPr>
          <w:sz w:val="24"/>
        </w:rPr>
        <w:tab/>
        <w:tab/>
        <w:tab/>
        <w:tab/>
        <w:tab/>
        <w:tab/>
      </w:r>
      <w:hyperlink r:id="rId2">
        <w:r>
          <w:rPr>
            <w:rStyle w:val="Hyperlink"/>
          </w:rPr>
          <w:t>susan.scott@enron.com</w:t>
        </w:r>
      </w:hyperlink>
    </w:p>
    <w:p>
      <w:pPr>
        <w:pStyle w:val="Normal"/>
        <w:jc w:val="both"/>
        <w:rPr>
          <w:sz w:val="24"/>
        </w:rPr>
      </w:pPr>
      <w:r>
        <w:rPr>
          <w:sz w:val="24"/>
        </w:rPr>
      </w:r>
    </w:p>
    <w:p>
      <w:pPr>
        <w:pStyle w:val="BodyText3"/>
        <w:jc w:val="both"/>
        <w:rPr>
          <w:sz w:val="24"/>
        </w:rPr>
      </w:pPr>
      <w:r>
        <w:rPr>
          <w:sz w:val="24"/>
        </w:rPr>
      </w:r>
    </w:p>
    <w:p>
      <w:pPr>
        <w:pStyle w:val="FootnoteText"/>
        <w:spacing w:lineRule="auto" w:line="360"/>
        <w:jc w:val="both"/>
        <w:rPr>
          <w:sz w:val="24"/>
        </w:rPr>
      </w:pPr>
      <w:r>
        <w:rPr>
          <w:sz w:val="24"/>
        </w:rPr>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Transwestern seeks leave to answer the protests pursuant to Rule 213 under which an answer to a protest is permitted under the Commission's Rules if so "ordered by the decisional authority."  18 C.F.R. § 385.213(a)(2).  The Commission has allowed such answers where the pleading helps explicate issues that are important to the proceeding or otherwise supplements the facts before the Commission.  </w:t>
      </w:r>
      <w:r>
        <w:rPr>
          <w:u w:val="single"/>
        </w:rPr>
        <w:t>See</w:t>
      </w:r>
      <w:r>
        <w:rPr/>
        <w:t xml:space="preserve">, </w:t>
      </w:r>
      <w:r>
        <w:rPr>
          <w:u w:val="single"/>
        </w:rPr>
        <w:t>e.g.</w:t>
      </w:r>
      <w:r>
        <w:rPr/>
        <w:t xml:space="preserve">, </w:t>
      </w:r>
      <w:r>
        <w:rPr>
          <w:u w:val="single"/>
        </w:rPr>
        <w:t>Northern Natural Gas Company</w:t>
      </w:r>
      <w:r>
        <w:rPr/>
        <w:t xml:space="preserve">, 60 FERC ¶ 61,098 (1992); </w:t>
      </w:r>
      <w:r>
        <w:rPr>
          <w:u w:val="single"/>
        </w:rPr>
        <w:t>Natural Gas Pipeline Company of America</w:t>
      </w:r>
      <w:r>
        <w:rPr/>
        <w:t xml:space="preserve">, 52 FERC ¶ 61,219 (1990); </w:t>
      </w:r>
      <w:r>
        <w:rPr>
          <w:u w:val="single"/>
        </w:rPr>
        <w:t>Transcontinental Gas Pipe Line Corporation</w:t>
      </w:r>
      <w:r>
        <w:rPr/>
        <w:t xml:space="preserve">; 50 FERC ¶ 61,365 (1990); </w:t>
      </w:r>
      <w:r>
        <w:rPr>
          <w:u w:val="single"/>
        </w:rPr>
        <w:t>Transwestern Pipeline Company</w:t>
      </w:r>
      <w:r>
        <w:rPr/>
        <w:t xml:space="preserve">, 50 FERC ¶ 61,362 (1990); </w:t>
      </w:r>
      <w:r>
        <w:rPr>
          <w:u w:val="single"/>
        </w:rPr>
        <w:t>Transwestern Pipeline Company</w:t>
      </w:r>
      <w:r>
        <w:rPr/>
        <w:t xml:space="preserve">, 50 FERC ¶ 61,211 (1990) and </w:t>
      </w:r>
      <w:r>
        <w:rPr>
          <w:u w:val="single"/>
        </w:rPr>
        <w:t>Buckeye Pipe Line Co., L.P.</w:t>
      </w:r>
      <w:r>
        <w:rPr/>
        <w:t>, 45 FERC ¶ 61,046 (1988).  This answer will clarify issues raised in the protests.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san.scott@enro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2000-11-02T14:24:00Z</dcterms:created>
  <dc:creator>Susan Scott</dc:creator>
  <dc:description/>
  <dc:language>en-CA</dc:language>
  <cp:lastModifiedBy>Susan Scott</cp:lastModifiedBy>
  <cp:lastPrinted>2000-11-03T11:33:00Z</cp:lastPrinted>
  <dcterms:modified xsi:type="dcterms:W3CDTF">2000-11-03T15:28:00Z</dcterms:modified>
  <cp:revision>6</cp:revision>
  <dc:subject/>
  <dc:title>UNITED STATES OF AMERICA</dc:title>
</cp:coreProperties>
</file>