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Adjustments to FGT’s Transportation Rates</w:t>
      </w:r>
    </w:p>
    <w:p>
      <w:pPr>
        <w:pStyle w:val="Normal"/>
        <w:jc w:val="center"/>
        <w:rPr>
          <w:sz w:val="22"/>
        </w:rPr>
      </w:pPr>
      <w:r>
        <w:rPr>
          <w:sz w:val="22"/>
        </w:rPr>
        <w:t>&amp; Fuel Reimbursement Percentages</w:t>
      </w:r>
    </w:p>
    <w:p>
      <w:pPr>
        <w:pStyle w:val="Normal"/>
        <w:jc w:val="center"/>
        <w:rPr>
          <w:sz w:val="22"/>
        </w:rPr>
      </w:pPr>
      <w:r>
        <w:rPr>
          <w:sz w:val="22"/>
        </w:rPr>
      </w:r>
    </w:p>
    <w:p>
      <w:pPr>
        <w:pStyle w:val="Heading1"/>
        <w:ind w:hanging="0" w:start="0"/>
        <w:rPr>
          <w:sz w:val="22"/>
        </w:rPr>
      </w:pPr>
      <w:r>
        <w:rPr>
          <w:sz w:val="22"/>
        </w:rPr>
        <w:t>Background</w:t>
      </w:r>
    </w:p>
    <w:p>
      <w:pPr>
        <w:pStyle w:val="Normal"/>
        <w:rPr>
          <w:sz w:val="22"/>
        </w:rPr>
      </w:pPr>
      <w:r>
        <w:rPr>
          <w:sz w:val="22"/>
        </w:rPr>
        <w:t>The rates applicable to FGT’s transportation services are contained on Sheet Nos. 8A, 8A.01, 8A.02, 8A.03, 8B and 8B.01 of FGT’s FERC Gas Tariff. As shown on these tariff sheets, the Maximum Rates Including Surcharges for reservation and usage charges includes the Currently Effective Rates and applicable surcharges. In addition to transportation rates, these tariff sheets also contain the fuel reimbursement percentages applicable to FGT’s transportation services.</w:t>
      </w:r>
    </w:p>
    <w:p>
      <w:pPr>
        <w:pStyle w:val="Normal"/>
        <w:rPr>
          <w:sz w:val="22"/>
        </w:rPr>
      </w:pPr>
      <w:r>
        <w:rPr>
          <w:sz w:val="22"/>
        </w:rPr>
      </w:r>
    </w:p>
    <w:p>
      <w:pPr>
        <w:pStyle w:val="Normal"/>
        <w:rPr>
          <w:sz w:val="22"/>
        </w:rPr>
      </w:pPr>
      <w:r>
        <w:rPr>
          <w:sz w:val="22"/>
        </w:rPr>
        <w:t>With rare exception, the Currently Effective Rates are changed only in FGT’s Section 4 rate cases. The Currently Effective Rates as shown on the tariff sheets have remained unchanged since March 1, 1997. FGT does not have a pending Section 4 rate case filing, but, pursuant to the terms of the settlement in RP96-366, FGT is required to make a Section 4 rate case filing on or before October 2003.</w:t>
      </w:r>
    </w:p>
    <w:p>
      <w:pPr>
        <w:pStyle w:val="Normal"/>
        <w:rPr>
          <w:sz w:val="22"/>
        </w:rPr>
      </w:pPr>
      <w:r>
        <w:rPr>
          <w:sz w:val="22"/>
        </w:rPr>
      </w:r>
    </w:p>
    <w:p>
      <w:pPr>
        <w:pStyle w:val="Normal"/>
        <w:rPr>
          <w:sz w:val="22"/>
        </w:rPr>
      </w:pPr>
      <w:r>
        <w:rPr>
          <w:sz w:val="22"/>
        </w:rPr>
        <w:t xml:space="preserve">The Maximum Rates Including Surcharges may change several times each year do to changes in applicable surcharges. As described below, FGT may make filings to adjust applicable surcharges with the Federal Energy Regulatory Commission pursuant to the provisions of FGT’s tariff. </w:t>
      </w:r>
    </w:p>
    <w:p>
      <w:pPr>
        <w:pStyle w:val="Normal"/>
        <w:rPr>
          <w:sz w:val="22"/>
        </w:rPr>
      </w:pPr>
      <w:r>
        <w:rPr>
          <w:sz w:val="22"/>
        </w:rPr>
      </w:r>
    </w:p>
    <w:p>
      <w:pPr>
        <w:pStyle w:val="Heading1"/>
        <w:ind w:hanging="0" w:start="0"/>
        <w:rPr>
          <w:sz w:val="22"/>
        </w:rPr>
      </w:pPr>
      <w:r>
        <w:rPr>
          <w:sz w:val="22"/>
        </w:rPr>
        <w:t>GRI and ACA Surcharges</w:t>
      </w:r>
    </w:p>
    <w:p>
      <w:pPr>
        <w:pStyle w:val="Normal"/>
        <w:rPr>
          <w:sz w:val="22"/>
        </w:rPr>
      </w:pPr>
      <w:r>
        <w:rPr>
          <w:sz w:val="22"/>
        </w:rPr>
        <w:t>GRI Surcharges – Pursuant to Section 23 of the General Terms and Conditions of FGT’s tariff, FGT files annually to update GRI reservation and usage surcharges to be effective January 1.</w:t>
      </w:r>
    </w:p>
    <w:p>
      <w:pPr>
        <w:pStyle w:val="Normal"/>
        <w:rPr>
          <w:sz w:val="22"/>
        </w:rPr>
      </w:pPr>
      <w:r>
        <w:rPr>
          <w:sz w:val="22"/>
        </w:rPr>
      </w:r>
    </w:p>
    <w:p>
      <w:pPr>
        <w:pStyle w:val="Normal"/>
        <w:rPr>
          <w:sz w:val="22"/>
        </w:rPr>
      </w:pPr>
      <w:r>
        <w:rPr>
          <w:sz w:val="22"/>
        </w:rPr>
        <w:t>ACA Surcharge – Pursuant to Section 22 of the General Terms and Conditions of FGT’s tariff, FGT files annually to update the ACA usage surcharge to be effective October 1.</w:t>
      </w:r>
    </w:p>
    <w:p>
      <w:pPr>
        <w:pStyle w:val="Normal"/>
        <w:rPr>
          <w:sz w:val="22"/>
          <w:u w:val="single"/>
        </w:rPr>
      </w:pPr>
      <w:r>
        <w:rPr>
          <w:sz w:val="22"/>
          <w:u w:val="single"/>
        </w:rPr>
      </w:r>
    </w:p>
    <w:p>
      <w:pPr>
        <w:pStyle w:val="Normal"/>
        <w:rPr>
          <w:sz w:val="22"/>
          <w:u w:val="single"/>
        </w:rPr>
      </w:pPr>
      <w:r>
        <w:rPr>
          <w:sz w:val="22"/>
          <w:u w:val="single"/>
        </w:rPr>
        <w:t>Fuel Reimbursement Charges</w:t>
      </w:r>
    </w:p>
    <w:p>
      <w:pPr>
        <w:pStyle w:val="Normal"/>
        <w:rPr>
          <w:sz w:val="22"/>
        </w:rPr>
      </w:pPr>
      <w:r>
        <w:rPr>
          <w:sz w:val="22"/>
        </w:rPr>
        <w:t>Pursuant to Section 27 of the General Terms and Conditions of FGT’s tariff, FGT files semi-annually for the recovery of gas used in the operation of its system and gas lost from the system or otherwise unaccounted for. The fuel reimbursement charges pursuant to Section 27 consist of the Fuel Reimbursement Charge Percentage (FRCP), designed to recover current fuel usage on an in-kind basis, and the Unit Fuel Surcharge (UFS), designed to recover or refund previous under or over collections on a cash basis. Both the FRCP and the UFS are applicable only to market area deliveries and are effective for seasonal periods, changing effective each April 1 (for the Summer Period) and each October 1 (for the Winter Period).</w:t>
      </w:r>
    </w:p>
    <w:p>
      <w:pPr>
        <w:pStyle w:val="Normal"/>
        <w:rPr>
          <w:sz w:val="22"/>
        </w:rPr>
      </w:pPr>
      <w:r>
        <w:rPr>
          <w:sz w:val="22"/>
        </w:rPr>
      </w:r>
    </w:p>
    <w:p>
      <w:pPr>
        <w:pStyle w:val="Normal"/>
        <w:rPr>
          <w:sz w:val="22"/>
        </w:rPr>
      </w:pPr>
      <w:r>
        <w:rPr>
          <w:sz w:val="22"/>
        </w:rPr>
        <w:t>Additionally, pursuant to Section 27 of the General Terms and Conditions of FGT’s tariff, FGT may file flex adjustments to the FRCP and the UFS. Adjustments to the FRCP and UFS may only be made effective on the first of the month and must be filed at least 7 days prior to the effective date, and must be posted on FGT’s website at least five working days prior to the nomination deadline. Fuel usage on FGT’s system varies from projected quantities for a variety of factors and adjustments to the FRCP are not uncommon.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2001-10-01T17:31:00Z</dcterms:created>
  <dc:creator>blichte</dc:creator>
  <dc:description/>
  <dc:language>en-CA</dc:language>
  <cp:lastModifiedBy>blichte</cp:lastModifiedBy>
  <dcterms:modified xsi:type="dcterms:W3CDTF">2001-10-01T17:31:00Z</dcterms:modified>
  <cp:revision>2</cp:revision>
  <dc:subject/>
  <dc:title>Annual Filings Impacting FGT’s Surcharges</dc:title>
</cp:coreProperties>
</file>