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May 31, 2001</w:t>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Arthur Andersen, LLP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711 Louisiana Street, Suite 1300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b/>
          <w:sz w:val="22"/>
        </w:rPr>
      </w:pPr>
      <w:r>
        <w:rPr>
          <w:rFonts w:cs="Book Antiqua" w:ascii="Book Antiqua" w:hAnsi="Book Antiqua"/>
          <w:sz w:val="22"/>
        </w:rPr>
        <w:t>Houston, Texas 77002</w:t>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b/>
          <w:sz w:val="22"/>
        </w:rPr>
      </w:pPr>
      <w:r>
        <w:rPr>
          <w:rFonts w:cs="Book Antiqua" w:ascii="Book Antiqua" w:hAnsi="Book Antiqua"/>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In connection with your engagement to perform certain agreed-upon procedures which were agreed to by Enron Energy Services, LLC (“EES” or the “Company”) related to compliance with the California Energy Commission’s (“CEC”) Power Source Disclosure and Customer Credit Verification Program and the Center for Resource Solutions’ Green-e Verification Protocol (the "specified requirements") by both Enron Energy Services, Inc. (“EESI”) and Enron Energy Marketing Corp. (“EEMC”), for the year-ended December 31, 2000, we make, to the best of our knowledge and belief as of the date of this letter, the following representations: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eastAsia="Book Antiqua" w:cs="Book Antiqua" w:ascii="Book Antiqua" w:hAnsi="Book Antiqua"/>
          <w:sz w:val="22"/>
        </w:rPr>
        <w:t xml:space="preserve"> </w:t>
      </w:r>
      <w:r>
        <w:rPr>
          <w:rFonts w:cs="Book Antiqua" w:ascii="Book Antiqua" w:hAnsi="Book Antiqua"/>
          <w:sz w:val="22"/>
        </w:rPr>
        <w:t>Management  of EESI and EEMC is responsible for complying with the specified requirements.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2.    The procedures described in your report are sufficient for our purposes.</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start="0"/>
        <w:rPr>
          <w:rFonts w:ascii="Book Antiqua" w:hAnsi="Book Antiqua" w:cs="Book Antiqua"/>
          <w:sz w:val="22"/>
        </w:rPr>
      </w:pPr>
      <w:r>
        <w:rPr>
          <w:rFonts w:cs="Book Antiqua" w:ascii="Book Antiqua" w:hAnsi="Book Antiqua"/>
          <w:sz w:val="22"/>
        </w:rPr>
      </w:r>
    </w:p>
    <w:p>
      <w:pPr>
        <w:pStyle w:val="Normal"/>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We have performed an evaluation of EESI’s and EEMC’s compliance with the specified requirements.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EESI and EEMC are in compliance with the specified requirements of the California Energy Commission and the Center for Resource Solutions based on the stated or established criteria, except as disclosed in the Agreed-Upon Procedure Reports.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BodyTextInden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pPr>
      <w:r>
        <w:rPr/>
        <w:t>5.   There have been no communications from regulatory agencies or other third parties concerning noncompliance with or deficiencies in financial reporting practices that could have a material effect on this engagement.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We have disclosed to you all known instances of noncompliance with the specified requirements, including any occurring subsequent to December 31,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We have made available to you all documentation related to compliance with the specified requirements.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There has been no:</w:t>
      </w:r>
    </w:p>
    <w:p>
      <w:pPr>
        <w:pStyle w:val="Normal"/>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Fraud involving management or employees who have significant roles in internal control.</w:t>
      </w:r>
    </w:p>
    <w:p>
      <w:pPr>
        <w:pStyle w:val="Normal"/>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Fraud involving others that could have a material effect on the invoicing information provided to the regulatory agencies listed in the first paragraph and you.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We have complied with all aspects of contractual agreements that would have a material effect on the information in the event of noncompliance.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The accounting records underlying the information accurately and fairly reflect, in reasonable detail, the transactions of EESI and EEMC insofar as they relate to the information provided to the regulatory agencies listed in the first paragraph and you.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No material events have occurred subsequent to the date of the information provided to the regulatory agencies listed in the first paragraph and you and through the date of this letter that would require adjustment to, or disclosure in, the information provided to the regulatory agencies listed in the first paragraph and you.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We acknowledge that your procedures were based upon information provided to you by us.  Therefore, we acknowledge that Arthur Andersen, LLP makes no representation as to or for the following items: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 xml:space="preserve">The completeness, accuracy or reasonableness of the Annual Report beyond the specified requirements, which includes information on Power Purchases and Retail Sales and contains a Balancing Sheet summarizing both purchases and sales.  </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The completeness, accuracy or reasonableness of the Electricity Supply Report beyond the specified requirements, which contains the detail of the annual specific purchases and generic purchases and supplements the Annual Report.</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The completeness, accuracy or reasonableness of the Retail Sales by Month Report beyond the specified requirements, which contains the detail of monthly retail sales for each product sold by fuel type and supplements the Annual Report.</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The completeness, accuracy or reasonableness of the Annual Power  Content Labels and projected labels (which compare the percentages of each fuel type) and necessary disclosure letters, beyond the specified requirements.</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eastAsia="Book Antiqua" w:cs="Book Antiqua" w:ascii="Book Antiqua" w:hAnsi="Book Antiqua"/>
          <w:sz w:val="22"/>
        </w:rPr>
        <w:t xml:space="preserve"> </w:t>
      </w:r>
      <w:r>
        <w:rPr>
          <w:rFonts w:cs="Book Antiqua" w:ascii="Book Antiqua" w:hAnsi="Book Antiqua"/>
          <w:sz w:val="22"/>
        </w:rPr>
        <w:t>The completeness, accuracy or reasonableness of the Monthly Performance Reports (“MPR’s”), APX Billing Invoices, EPMI Confirmations and any query language supporting the EESI and EEMC billing systems, provided to you.</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The completeness and accuracy of accounting records and other billing information provided to you.</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The position that emissions information for any specific purchases of fossil-fuel resources is not applicable for the Company for the year-ended December 31, 2000.</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 xml:space="preserve">The completeness, accuracy or reasonableness of the “2000 Generic Green Technology Breakdown” allocation percentages, as provided by Automated Power Exchange (“APX”). </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The completeness, accuracy or reasonableness of data or calculations used for purposes of the CEC’s credit level cap testing.</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The position that EESI and EEMC participate in the Green-e program solely as Retail Suppliers and do not operate as power pools.</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Power for EEMC for the year-ended December 31, 2000, was provided by two suppliers, Enron Power Marketing, Inc. (“EPMI”) and EESI.</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Power for EESI for the year-ended December 31, 2000, was provided by two suppliers, Automated Power Exchange (“APX”) and EPMI .</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Utility Distribution Companies do not perform billing function for either EESI or EEMC.</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All EEMC Clean Choice 20 and 50 customers received 100% renewable energy.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 xml:space="preserve">All EESI Enron Earth Smart 50 customers received 100% renewable energy.  No Enron Earth Smart 50 Annual Power Content Label was prepared as the Enron Earth Smart 50 customers received the Enron Earth Smart 100 Annual Power Content Labels.       </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There were no Registered Generating facilities listed in the specific purchases section of the “Electricity Supply Report” and “Schedule 1: Retail Sales” (“Schedule 1”) of the Annual Reports for EESI or EEMC and that no verification of generating facility information is necessary.</w:t>
      </w:r>
    </w:p>
    <w:p>
      <w:pPr>
        <w:pStyle w:val="Normal"/>
        <w:numPr>
          <w:ilvl w:val="0"/>
          <w:numId w:val="5"/>
        </w:numPr>
        <w:rPr>
          <w:rFonts w:ascii="Book Antiqua" w:hAnsi="Book Antiqua" w:cs="Book Antiqua"/>
          <w:i/>
          <w:i/>
          <w:sz w:val="22"/>
        </w:rPr>
      </w:pPr>
      <w:r>
        <w:rPr>
          <w:rFonts w:eastAsia="Book Antiqua" w:cs="Book Antiqua" w:ascii="Book Antiqua" w:hAnsi="Book Antiqua"/>
          <w:sz w:val="22"/>
        </w:rPr>
        <w:t xml:space="preserve"> </w:t>
      </w:r>
      <w:r>
        <w:rPr>
          <w:rFonts w:cs="Book Antiqua" w:ascii="Book Antiqua" w:hAnsi="Book Antiqua"/>
          <w:sz w:val="22"/>
        </w:rPr>
        <w:t xml:space="preserve">The Attestations provided by Wholesale Providers at </w:t>
      </w:r>
      <w:r>
        <w:rPr>
          <w:rFonts w:cs="Book Antiqua" w:ascii="Book Antiqua" w:hAnsi="Book Antiqua"/>
          <w:b/>
          <w:sz w:val="22"/>
        </w:rPr>
        <w:t xml:space="preserve">Attachment F </w:t>
      </w:r>
      <w:r>
        <w:rPr>
          <w:rFonts w:cs="Book Antiqua" w:ascii="Book Antiqua" w:hAnsi="Book Antiqua"/>
          <w:sz w:val="22"/>
        </w:rPr>
        <w:t>to the EESI and EEMC CEC Reports and the Monthly Report of Purchases by Wholesale Providers meet the meter certification requirement (see procedures 1.c.i.c) and 1.c.i.d) in the Agreed-Upon Procedure Reports).</w:t>
      </w:r>
    </w:p>
    <w:p>
      <w:pPr>
        <w:pStyle w:val="Normal"/>
        <w:numPr>
          <w:ilvl w:val="0"/>
          <w:numId w:val="5"/>
        </w:numPr>
        <w:rPr>
          <w:rFonts w:ascii="Book Antiqua" w:hAnsi="Book Antiqua" w:cs="Book Antiqua"/>
          <w:i/>
          <w:i/>
          <w:sz w:val="22"/>
        </w:rPr>
      </w:pPr>
      <w:r>
        <w:rPr>
          <w:rFonts w:cs="Book Antiqua" w:ascii="Book Antiqua" w:hAnsi="Book Antiqua"/>
          <w:sz w:val="22"/>
        </w:rPr>
        <w:t>EESI transferred 141,718,000 kWh of power during 2000 to EEMC.</w:t>
      </w:r>
    </w:p>
    <w:p>
      <w:pPr>
        <w:pStyle w:val="Normal"/>
        <w:numPr>
          <w:ilvl w:val="0"/>
          <w:numId w:val="5"/>
        </w:numPr>
        <w:rPr>
          <w:rFonts w:ascii="Book Antiqua" w:hAnsi="Book Antiqua" w:cs="Book Antiqua"/>
          <w:i/>
          <w:i/>
          <w:sz w:val="22"/>
        </w:rPr>
      </w:pPr>
      <w:r>
        <w:rPr>
          <w:rFonts w:cs="Book Antiqua" w:ascii="Book Antiqua" w:hAnsi="Book Antiqua"/>
          <w:sz w:val="22"/>
        </w:rPr>
        <w:t>25,416,000 kWh of the 167,134,000 kWh reported in the “kWh Resold or Self-Consumed” column on Schedule 1 of the EESI report reflects those volumes as being self-consumed by EESI from the 1999 CEC Annual Report.</w:t>
      </w:r>
    </w:p>
    <w:p>
      <w:pPr>
        <w:pStyle w:val="Normal"/>
        <w:numPr>
          <w:ilvl w:val="0"/>
          <w:numId w:val="5"/>
        </w:numPr>
        <w:rPr>
          <w:rFonts w:ascii="Book Antiqua" w:hAnsi="Book Antiqua" w:cs="Book Antiqua"/>
          <w:i/>
          <w:i/>
          <w:sz w:val="22"/>
        </w:rPr>
      </w:pPr>
      <w:r>
        <w:rPr>
          <w:rFonts w:cs="Book Antiqua" w:ascii="Book Antiqua" w:hAnsi="Book Antiqua"/>
          <w:sz w:val="22"/>
        </w:rPr>
        <w:t>The Bizmix products for both EESI and EEMC were delivered to “Other” customers.</w:t>
      </w:r>
    </w:p>
    <w:p>
      <w:pPr>
        <w:pStyle w:val="Normal"/>
        <w:numPr>
          <w:ilvl w:val="0"/>
          <w:numId w:val="5"/>
        </w:numPr>
        <w:rPr>
          <w:rFonts w:ascii="Book Antiqua" w:hAnsi="Book Antiqua" w:cs="Book Antiqua"/>
          <w:i/>
          <w:i/>
          <w:sz w:val="22"/>
        </w:rPr>
      </w:pPr>
      <w:r>
        <w:rPr>
          <w:rFonts w:cs="Book Antiqua" w:ascii="Book Antiqua" w:hAnsi="Book Antiqua"/>
          <w:sz w:val="22"/>
        </w:rPr>
        <w:t>The disclosure labels provided to you were all labels issued by EESI and EEMC for the calendar year 2000.</w:t>
      </w:r>
    </w:p>
    <w:p>
      <w:pPr>
        <w:pStyle w:val="Normal"/>
        <w:numPr>
          <w:ilvl w:val="0"/>
          <w:numId w:val="5"/>
        </w:numPr>
        <w:rPr>
          <w:rFonts w:ascii="Book Antiqua" w:hAnsi="Book Antiqua" w:cs="Book Antiqua"/>
          <w:i/>
          <w:i/>
          <w:sz w:val="22"/>
        </w:rPr>
      </w:pPr>
      <w:r>
        <w:rPr>
          <w:rFonts w:cs="Book Antiqua" w:ascii="Book Antiqua" w:hAnsi="Book Antiqua"/>
          <w:sz w:val="22"/>
        </w:rPr>
        <w:t>Matters involving an Annual Wholesale Sales Report are not applicable to either EESI or EEMC; EESI and EEMC</w:t>
      </w:r>
      <w:r>
        <w:rPr>
          <w:rFonts w:cs="Book Antiqua" w:ascii="Book Antiqua" w:hAnsi="Book Antiqua"/>
          <w:color w:val="FF0000"/>
          <w:sz w:val="22"/>
        </w:rPr>
        <w:t xml:space="preserve"> </w:t>
      </w:r>
      <w:r>
        <w:rPr>
          <w:rFonts w:cs="Book Antiqua" w:ascii="Book Antiqua" w:hAnsi="Book Antiqua"/>
          <w:sz w:val="22"/>
        </w:rPr>
        <w:t>are not Registered Wholesale Providers.</w:t>
      </w:r>
    </w:p>
    <w:p>
      <w:pPr>
        <w:pStyle w:val="Normal"/>
        <w:numPr>
          <w:ilvl w:val="0"/>
          <w:numId w:val="5"/>
        </w:numPr>
        <w:rPr>
          <w:rFonts w:ascii="Book Antiqua" w:hAnsi="Book Antiqua" w:cs="Book Antiqua"/>
          <w:i/>
          <w:i/>
          <w:sz w:val="22"/>
        </w:rPr>
      </w:pPr>
      <w:r>
        <w:rPr>
          <w:rFonts w:cs="Book Antiqua" w:ascii="Book Antiqua" w:hAnsi="Book Antiqua"/>
          <w:sz w:val="22"/>
        </w:rPr>
        <w:t xml:space="preserve">1,001,060 kWh of the total kWh sold for the year as reported on the EESI “Retail Sales by Month Report” was specifically provided to a Large Commercial customer, Patagonia, as a 100% Wind requirement.  </w:t>
      </w:r>
    </w:p>
    <w:p>
      <w:pPr>
        <w:pStyle w:val="BodyText"/>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color w:val="auto"/>
          <w:sz w:val="22"/>
        </w:rPr>
      </w:pPr>
      <w:r>
        <w:rPr>
          <w:color w:val="auto"/>
          <w:sz w:val="22"/>
        </w:rPr>
        <w:t>6,212,856 kWh of the total kWh sold for the year designated as “Other” on the EEMC “Retail Sales by Month Report” was specifically provided to a Large Commercial customer, Fetzer, as a 100% renewable energy requirement.</w:t>
      </w:r>
    </w:p>
    <w:p>
      <w:pPr>
        <w:pStyle w:val="BodyText"/>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color w:val="auto"/>
          <w:sz w:val="22"/>
        </w:rPr>
      </w:pPr>
      <w:r>
        <w:rPr>
          <w:color w:val="auto"/>
          <w:sz w:val="22"/>
        </w:rPr>
        <w:t>The amounts on the “Electricity Supply Report” in the “Transfers” section came from the listed EESI provider and that these amounts are used to agree the “Electricity Supply Report” to the “Gross kWh Purchases or Generated” column on  Schedule 1.</w:t>
      </w:r>
    </w:p>
    <w:p>
      <w:pPr>
        <w:pStyle w:val="BodyText"/>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color w:val="auto"/>
          <w:sz w:val="22"/>
        </w:rPr>
      </w:pPr>
      <w:r>
        <w:rPr>
          <w:color w:val="auto"/>
          <w:sz w:val="22"/>
        </w:rPr>
        <w:t>CEC and EESI management worked together in rectifying disclosures to customers regarding the specified credit level during the period January through July 2000.</w:t>
      </w:r>
    </w:p>
    <w:p>
      <w:pPr>
        <w:pStyle w:val="BodyText"/>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color w:val="auto"/>
          <w:sz w:val="22"/>
        </w:rPr>
      </w:pPr>
      <w:r>
        <w:rPr>
          <w:color w:val="auto"/>
          <w:sz w:val="22"/>
        </w:rPr>
        <w:t>EESI contacted APX regarding discrepancies in the invoicing of EESI purchases, and APX agreed to resolve its billing in subsequent months.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color w:val="auto"/>
          <w:sz w:val="22"/>
        </w:rPr>
      </w:pPr>
      <w:r>
        <w:rPr>
          <w:rFonts w:cs="Book Antiqua" w:ascii="Book Antiqua" w:hAnsi="Book Antiqua"/>
          <w:color w:val="auto"/>
          <w:sz w:val="22"/>
        </w:rPr>
      </w:r>
    </w:p>
    <w:p>
      <w:pPr>
        <w:pStyle w:val="Normal"/>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We have disclosed to you our interpretation of any applicable compliance requirements that have varying interpretations.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r>
    </w:p>
    <w:p>
      <w:pPr>
        <w:pStyle w:val="Normal"/>
        <w:numPr>
          <w:ilvl w:val="0"/>
          <w:numId w:val="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Book Antiqua" w:hAnsi="Book Antiqua" w:cs="Book Antiqua"/>
          <w:sz w:val="22"/>
        </w:rPr>
      </w:pPr>
      <w:r>
        <w:rPr>
          <w:rFonts w:cs="Book Antiqua" w:ascii="Book Antiqua" w:hAnsi="Book Antiqua"/>
          <w:sz w:val="22"/>
        </w:rPr>
        <w:t>We have disclosed to you any communications from internal auditors, regulatory agencies, and other third parties concerning possible noncompliance related to this matter, including communications received between December 31, 2000 and the date of this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start="5040" w:end="0"/>
        <w:rPr>
          <w:rFonts w:ascii="Book Antiqua" w:hAnsi="Book Antiqua" w:cs="Book Antiqua"/>
          <w:sz w:val="22"/>
        </w:rPr>
      </w:pPr>
      <w:r>
        <w:rPr>
          <w:rFonts w:cs="Book Antiqua" w:ascii="Book Antiqua" w:hAnsi="Book Antiqua"/>
          <w:sz w:val="22"/>
        </w:rPr>
      </w:r>
    </w:p>
    <w:p>
      <w:pPr>
        <w:pStyle w:val="Normal"/>
        <w:tabs>
          <w:tab w:val="clear" w:pos="720"/>
          <w:tab w:val="left" w:pos="1620" w:leader="none"/>
          <w:tab w:val="left" w:pos="1980" w:leader="none"/>
          <w:tab w:val="left" w:pos="7110" w:leader="none"/>
        </w:tabs>
        <w:spacing w:lineRule="atLeast" w:line="240"/>
        <w:rPr>
          <w:rFonts w:ascii="Book Antiqua" w:hAnsi="Book Antiqua" w:cs="Book Antiqua"/>
          <w:color w:val="000000"/>
          <w:sz w:val="22"/>
        </w:rPr>
      </w:pPr>
      <w:r>
        <w:rPr>
          <w:rFonts w:cs="Book Antiqua" w:ascii="Book Antiqua" w:hAnsi="Book Antiqua"/>
          <w:color w:val="000000"/>
          <w:sz w:val="22"/>
        </w:rPr>
      </w:r>
    </w:p>
    <w:tbl>
      <w:tblPr>
        <w:tblW w:w="4968" w:type="dxa"/>
        <w:jc w:val="start"/>
        <w:tblInd w:w="0" w:type="dxa"/>
        <w:tblLayout w:type="fixed"/>
        <w:tblCellMar>
          <w:top w:w="0" w:type="dxa"/>
          <w:start w:w="108" w:type="dxa"/>
          <w:bottom w:w="0" w:type="dxa"/>
          <w:end w:w="108" w:type="dxa"/>
        </w:tblCellMar>
      </w:tblPr>
      <w:tblGrid>
        <w:gridCol w:w="4968"/>
      </w:tblGrid>
      <w:tr>
        <w:trPr/>
        <w:tc>
          <w:tcPr>
            <w:tcW w:w="4968" w:type="dxa"/>
            <w:tcBorders>
              <w:bottom w:val="single" w:sz="4" w:space="0" w:color="000000"/>
            </w:tcBorders>
          </w:tcPr>
          <w:p>
            <w:pPr>
              <w:pStyle w:val="Normal"/>
              <w:tabs>
                <w:tab w:val="clear" w:pos="720"/>
                <w:tab w:val="left" w:pos="1620" w:leader="none"/>
                <w:tab w:val="left" w:pos="1980" w:leader="none"/>
                <w:tab w:val="left" w:pos="7110" w:leader="none"/>
              </w:tabs>
              <w:spacing w:lineRule="atLeast" w:line="240"/>
              <w:rPr>
                <w:rFonts w:ascii="Book Antiqua" w:hAnsi="Book Antiqua" w:cs="Book Antiqua"/>
                <w:color w:val="000000"/>
                <w:sz w:val="22"/>
              </w:rPr>
            </w:pPr>
            <w:r>
              <w:fldChar w:fldCharType="begin">
                <w:ffData>
                  <w:name w:val="Text9"/>
                  <w:enabled/>
                  <w:calcOnExit w:val="0"/>
                  <w:textInput/>
                </w:ffData>
              </w:fldChar>
            </w:r>
            <w:r>
              <w:rPr>
                <w:sz w:val="22"/>
                <w:rFonts w:cs="Book Antiqua" w:ascii="Book Antiqua" w:hAnsi="Book Antiqua"/>
                <w:color w:val="000000"/>
                <w:lang w:val="en-CA"/>
              </w:rPr>
              <w:instrText xml:space="preserve"> FORMTEXT </w:instrText>
            </w:r>
            <w:r>
              <w:rPr>
                <w:rFonts w:cs="Book Antiqua" w:ascii="Book Antiqua" w:hAnsi="Book Antiqua"/>
                <w:color w:val="000000"/>
                <w:sz w:val="22"/>
                <w:lang w:val="en-CA"/>
              </w:rPr>
            </w:r>
            <w:r>
              <w:rPr>
                <w:sz w:val="22"/>
                <w:rFonts w:cs="Book Antiqua" w:ascii="Book Antiqua" w:hAnsi="Book Antiqua"/>
                <w:color w:val="000000"/>
                <w:lang w:val="en-CA"/>
              </w:rPr>
              <w:fldChar w:fldCharType="separate"/>
            </w:r>
            <w:r>
              <w:rPr>
                <w:rFonts w:cs="Book Antiqua" w:ascii="Book Antiqua" w:hAnsi="Book Antiqua"/>
                <w:color w:val="000000"/>
                <w:sz w:val="22"/>
                <w:lang w:val="en-CA"/>
              </w:rPr>
              <w:t>     </w:t>
            </w:r>
            <w:r/>
            <w:r>
              <w:rPr>
                <w:sz w:val="22"/>
                <w:rFonts w:cs="Book Antiqua" w:ascii="Book Antiqua" w:hAnsi="Book Antiqua"/>
                <w:color w:val="000000"/>
                <w:lang w:val="en-CA"/>
              </w:rPr>
              <w:fldChar w:fldCharType="end"/>
            </w:r>
            <w:r>
              <w:rPr>
                <w:rFonts w:cs="Book Antiqua" w:ascii="Book Antiqua" w:hAnsi="Book Antiqua"/>
                <w:color w:val="000000"/>
                <w:sz w:val="22"/>
                <w:lang w:val="en-CA"/>
              </w:rPr>
            </w:r>
          </w:p>
        </w:tc>
      </w:tr>
    </w:tbl>
    <w:p>
      <w:pPr>
        <w:pStyle w:val="Normal"/>
        <w:tabs>
          <w:tab w:val="clear" w:pos="720"/>
          <w:tab w:val="left" w:pos="1620" w:leader="none"/>
          <w:tab w:val="left" w:pos="1980" w:leader="none"/>
          <w:tab w:val="left" w:pos="7110" w:leader="none"/>
        </w:tabs>
        <w:spacing w:lineRule="atLeast" w:line="240"/>
        <w:rPr>
          <w:rFonts w:ascii="Book Antiqua" w:hAnsi="Book Antiqua" w:cs="Book Antiqua"/>
          <w:color w:val="000000"/>
          <w:sz w:val="22"/>
        </w:rPr>
      </w:pPr>
      <w:r>
        <w:rPr>
          <w:rFonts w:eastAsia="Book Antiqua" w:cs="Book Antiqua" w:ascii="Book Antiqua" w:hAnsi="Book Antiqua"/>
          <w:color w:val="000000"/>
          <w:sz w:val="22"/>
        </w:rPr>
        <w:t xml:space="preserve"> </w:t>
      </w:r>
      <w:r>
        <w:rPr>
          <w:rFonts w:cs="Book Antiqua" w:ascii="Book Antiqua" w:hAnsi="Book Antiqua"/>
          <w:color w:val="000000"/>
          <w:sz w:val="22"/>
        </w:rPr>
        <w:t>Kevin Hughes, Enron Energy Services, Inc.</w:t>
      </w:r>
    </w:p>
    <w:p>
      <w:pPr>
        <w:pStyle w:val="Normal"/>
        <w:tabs>
          <w:tab w:val="clear" w:pos="720"/>
          <w:tab w:val="left" w:pos="1620" w:leader="none"/>
          <w:tab w:val="left" w:pos="1980" w:leader="none"/>
          <w:tab w:val="left" w:pos="7110" w:leader="none"/>
        </w:tabs>
        <w:spacing w:lineRule="atLeast" w:line="240"/>
        <w:ind w:hanging="180" w:start="180" w:end="0"/>
        <w:rPr>
          <w:rFonts w:ascii="Book Antiqua" w:hAnsi="Book Antiqua" w:cs="Book Antiqua"/>
          <w:color w:val="000000"/>
          <w:sz w:val="22"/>
        </w:rPr>
      </w:pPr>
      <w:r>
        <w:rPr>
          <w:rFonts w:cs="Book Antiqua" w:ascii="Book Antiqua" w:hAnsi="Book Antiqua"/>
          <w:color w:val="000000"/>
          <w:sz w:val="22"/>
        </w:rPr>
        <w:t>Vice President &amp; Chief Accounting Officer</w:t>
      </w:r>
    </w:p>
    <w:p>
      <w:pPr>
        <w:pStyle w:val="Normal"/>
        <w:tabs>
          <w:tab w:val="clear" w:pos="720"/>
          <w:tab w:val="left" w:pos="1620" w:leader="none"/>
          <w:tab w:val="left" w:pos="1980" w:leader="none"/>
          <w:tab w:val="left" w:pos="7110" w:leader="none"/>
        </w:tabs>
        <w:spacing w:lineRule="atLeast" w:line="240"/>
        <w:ind w:hanging="180" w:start="180" w:end="0"/>
        <w:rPr>
          <w:rFonts w:ascii="Book Antiqua" w:hAnsi="Book Antiqua" w:cs="Book Antiqua"/>
          <w:color w:val="000000"/>
          <w:sz w:val="22"/>
        </w:rPr>
      </w:pPr>
      <w:r>
        <w:rPr>
          <w:rFonts w:cs="Book Antiqua" w:ascii="Book Antiqua" w:hAnsi="Book Antiqua"/>
          <w:color w:val="000000"/>
          <w:sz w:val="22"/>
        </w:rPr>
      </w:r>
    </w:p>
    <w:tbl>
      <w:tblPr>
        <w:tblW w:w="4968" w:type="dxa"/>
        <w:jc w:val="start"/>
        <w:tblInd w:w="0" w:type="dxa"/>
        <w:tblLayout w:type="fixed"/>
        <w:tblCellMar>
          <w:top w:w="0" w:type="dxa"/>
          <w:start w:w="108" w:type="dxa"/>
          <w:bottom w:w="0" w:type="dxa"/>
          <w:end w:w="108" w:type="dxa"/>
        </w:tblCellMar>
      </w:tblPr>
      <w:tblGrid>
        <w:gridCol w:w="4968"/>
      </w:tblGrid>
      <w:tr>
        <w:trPr/>
        <w:tc>
          <w:tcPr>
            <w:tcW w:w="4968" w:type="dxa"/>
            <w:tcBorders>
              <w:bottom w:val="single" w:sz="4" w:space="0" w:color="000000"/>
            </w:tcBorders>
          </w:tcPr>
          <w:p>
            <w:pPr>
              <w:pStyle w:val="Normal"/>
              <w:tabs>
                <w:tab w:val="clear" w:pos="720"/>
                <w:tab w:val="left" w:pos="1620" w:leader="none"/>
                <w:tab w:val="left" w:pos="1980" w:leader="none"/>
                <w:tab w:val="left" w:pos="7110" w:leader="none"/>
              </w:tabs>
              <w:spacing w:lineRule="atLeast" w:line="240"/>
              <w:rPr>
                <w:rFonts w:ascii="Book Antiqua" w:hAnsi="Book Antiqua" w:cs="Book Antiqua"/>
                <w:color w:val="000000"/>
                <w:sz w:val="22"/>
              </w:rPr>
            </w:pPr>
            <w:r>
              <w:fldChar w:fldCharType="begin">
                <w:ffData>
                  <w:name w:val="Text10"/>
                  <w:enabled/>
                  <w:calcOnExit w:val="0"/>
                  <w:textInput/>
                </w:ffData>
              </w:fldChar>
            </w:r>
            <w:r>
              <w:rPr>
                <w:sz w:val="22"/>
                <w:rFonts w:cs="Book Antiqua" w:ascii="Book Antiqua" w:hAnsi="Book Antiqua"/>
                <w:color w:val="000000"/>
                <w:lang w:val="en-CA"/>
              </w:rPr>
              <w:instrText xml:space="preserve"> FORMTEXT </w:instrText>
            </w:r>
            <w:r>
              <w:rPr>
                <w:rFonts w:cs="Book Antiqua" w:ascii="Book Antiqua" w:hAnsi="Book Antiqua"/>
                <w:color w:val="000000"/>
                <w:sz w:val="22"/>
                <w:lang w:val="en-CA"/>
              </w:rPr>
            </w:r>
            <w:r>
              <w:rPr>
                <w:sz w:val="22"/>
                <w:rFonts w:cs="Book Antiqua" w:ascii="Book Antiqua" w:hAnsi="Book Antiqua"/>
                <w:color w:val="000000"/>
                <w:lang w:val="en-CA"/>
              </w:rPr>
              <w:fldChar w:fldCharType="separate"/>
            </w:r>
            <w:r>
              <w:rPr>
                <w:rFonts w:cs="Book Antiqua" w:ascii="Book Antiqua" w:hAnsi="Book Antiqua"/>
                <w:color w:val="000000"/>
                <w:sz w:val="22"/>
                <w:lang w:val="en-CA"/>
              </w:rPr>
              <w:t>     </w:t>
            </w:r>
            <w:r/>
            <w:r>
              <w:rPr>
                <w:sz w:val="22"/>
                <w:rFonts w:cs="Book Antiqua" w:ascii="Book Antiqua" w:hAnsi="Book Antiqua"/>
                <w:color w:val="000000"/>
                <w:lang w:val="en-CA"/>
              </w:rPr>
              <w:fldChar w:fldCharType="end"/>
            </w:r>
            <w:r>
              <w:rPr>
                <w:rFonts w:cs="Book Antiqua" w:ascii="Book Antiqua" w:hAnsi="Book Antiqua"/>
                <w:color w:val="000000"/>
                <w:sz w:val="22"/>
                <w:lang w:val="en-CA"/>
              </w:rPr>
            </w:r>
          </w:p>
        </w:tc>
      </w:tr>
    </w:tbl>
    <w:p>
      <w:pPr>
        <w:pStyle w:val="Normal"/>
        <w:tabs>
          <w:tab w:val="clear" w:pos="720"/>
          <w:tab w:val="left" w:pos="7110" w:leader="none"/>
        </w:tabs>
        <w:rPr>
          <w:rFonts w:ascii="Book Antiqua" w:hAnsi="Book Antiqua" w:cs="Book Antiqua"/>
          <w:color w:val="000000"/>
          <w:sz w:val="22"/>
        </w:rPr>
      </w:pPr>
      <w:r>
        <w:rPr>
          <w:rFonts w:cs="Book Antiqua" w:ascii="Book Antiqua" w:hAnsi="Book Antiqua"/>
          <w:color w:val="000000"/>
          <w:sz w:val="22"/>
        </w:rPr>
        <w:t>Greg Sharp, Enron Energy Services, Inc.</w:t>
      </w:r>
    </w:p>
    <w:p>
      <w:pPr>
        <w:pStyle w:val="Normal"/>
        <w:tabs>
          <w:tab w:val="clear" w:pos="720"/>
          <w:tab w:val="left" w:pos="7110" w:leader="none"/>
        </w:tabs>
        <w:rPr>
          <w:rFonts w:ascii="Book Antiqua" w:hAnsi="Book Antiqua" w:cs="Book Antiqua"/>
          <w:color w:val="000000"/>
          <w:sz w:val="22"/>
        </w:rPr>
      </w:pPr>
      <w:r>
        <w:rPr>
          <w:rFonts w:cs="Book Antiqua" w:ascii="Book Antiqua" w:hAnsi="Book Antiqua"/>
          <w:color w:val="000000"/>
          <w:sz w:val="22"/>
        </w:rPr>
        <w:t xml:space="preserve">Vice President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pPr>
    <w:r>
      <w:rPr>
        <w:rStyle w:val="PageNumber"/>
      </w:rPr>
      <w:t>May 31,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3"/>
      <w:numFmt w:val="decimal"/>
      <w:lvlText w:val="%1."/>
      <w:lvlJc w:val="start"/>
      <w:pPr>
        <w:tabs>
          <w:tab w:val="num" w:pos="360"/>
        </w:tabs>
        <w:ind w:start="360" w:hanging="360"/>
      </w:pPr>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6"/>
      <w:numFmt w:val="decimal"/>
      <w:lvlText w:val="%1."/>
      <w:lvlJc w:val="start"/>
      <w:pPr>
        <w:tabs>
          <w:tab w:val="num" w:pos="360"/>
        </w:tabs>
        <w:ind w:start="360" w:hanging="360"/>
      </w:pPr>
      <w:rPr/>
    </w:lvl>
  </w:abstractNum>
  <w:abstractNum w:abstractNumId="5">
    <w:lvl w:ilvl="0">
      <w:start w:val="1"/>
      <w:numFmt w:val="lowerLetter"/>
      <w:lvlText w:val="%1."/>
      <w:lvlJc w:val="start"/>
      <w:pPr>
        <w:tabs>
          <w:tab w:val="num" w:pos="1080"/>
        </w:tabs>
        <w:ind w:start="1080" w:hanging="360"/>
      </w:pPr>
      <w:rPr>
        <w:i w:val="false"/>
        <w:b w:val="false"/>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style>
  <w:style w:type="character" w:styleId="WW8Num3z0">
    <w:name w:val="WW8Num3z0"/>
    <w:qFormat/>
    <w:rPr>
      <w:i w:val="false"/>
    </w:rPr>
  </w:style>
  <w:style w:type="character" w:styleId="WW8Num4z0">
    <w:name w:val="WW8Num4z0"/>
    <w:qFormat/>
    <w:rPr/>
  </w:style>
  <w:style w:type="character" w:styleId="WW8Num6z0">
    <w:name w:val="WW8Num6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1620" w:leader="none"/>
        <w:tab w:val="left" w:pos="1980" w:leader="none"/>
        <w:tab w:val="left" w:pos="7110" w:leader="none"/>
      </w:tabs>
      <w:spacing w:lineRule="atLeast" w:line="240"/>
      <w:jc w:val="center"/>
    </w:pPr>
    <w:rPr>
      <w:rFonts w:ascii="Book Antiqua" w:hAnsi="Book Antiqua" w:cs="Book Antiqua"/>
      <w:b/>
      <w:color w:val="000000"/>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pPr>
    <w:rPr>
      <w:rFonts w:ascii="Book Antiqua" w:hAnsi="Book Antiqua" w:cs="Book Antiqua"/>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360" w:end="0"/>
    </w:pPr>
    <w:rPr>
      <w:rFonts w:ascii="Book Antiqua" w:hAnsi="Book Antiqua" w:cs="Book Antiqua"/>
      <w:sz w:val="22"/>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2001-06-01T13:56:00Z</dcterms:created>
  <dc:creator>Arthur Andersen</dc:creator>
  <dc:description/>
  <dc:language>en-CA</dc:language>
  <cp:lastModifiedBy>hmathis</cp:lastModifiedBy>
  <cp:lastPrinted>2001-05-31T23:25:00Z</cp:lastPrinted>
  <dcterms:modified xsi:type="dcterms:W3CDTF">2001-06-01T13:59:00Z</dcterms:modified>
  <cp:revision>3</cp:revision>
  <dc:subject>Research Manager</dc:subject>
  <dc:title>RL-5a:  REPRESENTATION FOR REPORT ON COMPLIANCE WITH SPECIFIED REQUIREMENTS</dc:title>
</cp:coreProperties>
</file>