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2340" w:leader="none"/>
        </w:tabs>
        <w:ind w:start="-1440" w:end="-1440"/>
        <w:jc w:val="center"/>
        <w:rPr>
          <w:sz w:val="32"/>
        </w:rPr>
      </w:pPr>
      <w:r>
        <w:rPr>
          <w:sz w:val="32"/>
        </w:rPr>
        <w:t>Executive Support</w:t>
      </w:r>
    </w:p>
    <w:p>
      <w:pPr>
        <w:pStyle w:val="BodyText"/>
        <w:tabs>
          <w:tab w:val="clear" w:pos="720"/>
          <w:tab w:val="left" w:pos="2340" w:leader="none"/>
        </w:tabs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</w:r>
    </w:p>
    <w:p>
      <w:pPr>
        <w:pStyle w:val="BodyText"/>
        <w:tabs>
          <w:tab w:val="clear" w:pos="720"/>
          <w:tab w:val="left" w:pos="2340" w:leader="none"/>
        </w:tabs>
        <w:ind w:start="-1440" w:end="-144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Announcement to Managing Directors and Above</w:t>
      </w:r>
    </w:p>
    <w:p>
      <w:pPr>
        <w:pStyle w:val="BodyText"/>
        <w:tabs>
          <w:tab w:val="clear" w:pos="720"/>
          <w:tab w:val="left" w:pos="2340" w:leader="none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BodyText"/>
        <w:rPr/>
      </w:pPr>
      <w:r>
        <w:rPr/>
      </w:r>
    </w:p>
    <w:p>
      <w:pPr>
        <w:pStyle w:val="BodyText"/>
        <w:ind w:start="-720" w:end="-1440"/>
        <w:rPr/>
      </w:pPr>
      <w:r>
        <w:rPr/>
        <w:t>In conjunction with Enron’s workforce reductions, Infrastructure has streamlined executive support to only include the following:</w:t>
      </w:r>
    </w:p>
    <w:p>
      <w:pPr>
        <w:pStyle w:val="BodyText"/>
        <w:ind w:start="-720" w:end="-1440"/>
        <w:rPr/>
      </w:pPr>
      <w:r>
        <w:rPr/>
      </w:r>
    </w:p>
    <w:p>
      <w:pPr>
        <w:pStyle w:val="BodyText"/>
        <w:ind w:start="-720" w:end="-1440"/>
        <w:rPr/>
      </w:pPr>
      <w:r>
        <w:rPr/>
      </w:r>
    </w:p>
    <w:p>
      <w:pPr>
        <w:pStyle w:val="Normal"/>
        <w:numPr>
          <w:ilvl w:val="0"/>
          <w:numId w:val="1"/>
        </w:numPr>
        <w:ind w:hanging="360" w:start="360" w:end="-1440"/>
        <w:rPr/>
      </w:pPr>
      <w:r>
        <w:rPr/>
        <w:t>ECS 5</w:t>
      </w:r>
      <w:r>
        <w:rPr>
          <w:vertAlign w:val="superscript"/>
        </w:rPr>
        <w:t>th</w:t>
      </w:r>
      <w:r>
        <w:rPr/>
        <w:t xml:space="preserve"> and 6</w:t>
      </w:r>
      <w:r>
        <w:rPr>
          <w:vertAlign w:val="superscript"/>
        </w:rPr>
        <w:t>th</w:t>
      </w:r>
      <w:r>
        <w:rPr/>
        <w:t xml:space="preserve"> Floor Executives</w:t>
      </w:r>
    </w:p>
    <w:p>
      <w:pPr>
        <w:pStyle w:val="Normal"/>
        <w:numPr>
          <w:ilvl w:val="0"/>
          <w:numId w:val="1"/>
        </w:numPr>
        <w:ind w:hanging="360" w:start="360" w:end="-1440"/>
        <w:rPr/>
      </w:pPr>
      <w:r>
        <w:rPr/>
        <w:t>50</w:t>
      </w:r>
      <w:r>
        <w:rPr>
          <w:vertAlign w:val="superscript"/>
        </w:rPr>
        <w:t>th</w:t>
      </w:r>
      <w:r>
        <w:rPr/>
        <w:t xml:space="preserve"> Floor Executives</w:t>
      </w:r>
    </w:p>
    <w:p>
      <w:pPr>
        <w:pStyle w:val="BodyText"/>
        <w:numPr>
          <w:ilvl w:val="0"/>
          <w:numId w:val="1"/>
        </w:numPr>
        <w:rPr/>
      </w:pPr>
      <w:r>
        <w:rPr/>
        <w:t>Administrative staff of each of the above listed groups</w:t>
      </w:r>
    </w:p>
    <w:p>
      <w:pPr>
        <w:pStyle w:val="BodyText"/>
        <w:ind w:start="-720" w:end="-1440"/>
        <w:rPr/>
      </w:pPr>
      <w:r>
        <w:rPr/>
      </w:r>
    </w:p>
    <w:p>
      <w:pPr>
        <w:pStyle w:val="BodyText"/>
        <w:ind w:start="-720" w:end="-1440"/>
        <w:rPr/>
      </w:pPr>
      <w:r>
        <w:rPr/>
      </w:r>
    </w:p>
    <w:p>
      <w:pPr>
        <w:pStyle w:val="BodyText"/>
        <w:ind w:start="-720" w:end="-1440"/>
        <w:rPr/>
      </w:pPr>
      <w:r>
        <w:rPr/>
        <w:t>Managing Directors and above that are not located on floors listed above will receive support based on the service levels of current Trader Support</w:t>
      </w:r>
      <w:r>
        <w:rPr>
          <w:i/>
          <w:iCs/>
        </w:rPr>
        <w:t>.</w:t>
      </w:r>
      <w:r>
        <w:rPr/>
        <w:t xml:space="preserve"> </w:t>
      </w:r>
      <w:r>
        <w:rPr>
          <w:b/>
          <w:bCs/>
        </w:rPr>
        <w:t xml:space="preserve">The new level of support will require that your assistant contact the Resolution Center to log your request at ext 31411. </w:t>
      </w:r>
    </w:p>
    <w:p>
      <w:pPr>
        <w:pStyle w:val="BodyText"/>
        <w:ind w:start="-720" w:end="-1440"/>
        <w:rPr>
          <w:b/>
          <w:bCs/>
        </w:rPr>
      </w:pPr>
      <w:r>
        <w:rPr>
          <w:b/>
          <w:bCs/>
        </w:rPr>
      </w:r>
    </w:p>
    <w:p>
      <w:pPr>
        <w:pStyle w:val="BodyText"/>
        <w:ind w:start="-720" w:end="-1440"/>
        <w:rPr/>
      </w:pPr>
      <w:r>
        <w:rPr/>
        <w:t>Floor technicians are available from 7:00 a.m. until 6:00 p.m., Monday through Friday</w:t>
      </w:r>
    </w:p>
    <w:p>
      <w:pPr>
        <w:pStyle w:val="BodyText"/>
        <w:ind w:start="-720" w:end="-1440"/>
        <w:rPr/>
      </w:pPr>
      <w:r>
        <w:rPr/>
      </w:r>
    </w:p>
    <w:p>
      <w:pPr>
        <w:pStyle w:val="BodyText"/>
        <w:ind w:start="-720" w:end="-1440"/>
        <w:rPr/>
      </w:pPr>
      <w:r>
        <w:rPr/>
        <w:t xml:space="preserve">Additionally, </w:t>
      </w:r>
      <w:r>
        <w:rPr>
          <w:b/>
          <w:bCs/>
        </w:rPr>
        <w:t>executive home support service has been eliminated.</w:t>
      </w:r>
      <w:r>
        <w:rPr/>
        <w:t xml:space="preserve">  It is the responsibility of the executive to obtain and pay for resources for this service. We have identified </w:t>
      </w:r>
      <w:r>
        <w:rPr>
          <w:szCs w:val="20"/>
        </w:rPr>
        <w:t xml:space="preserve">4 Guys Interactive, Inc as a possible vendor. </w:t>
      </w:r>
    </w:p>
    <w:p>
      <w:pPr>
        <w:pStyle w:val="BodyText"/>
        <w:ind w:start="-720" w:end="-1440"/>
        <w:rPr>
          <w:szCs w:val="20"/>
        </w:rPr>
      </w:pPr>
      <w:r>
        <w:rPr>
          <w:szCs w:val="20"/>
        </w:rPr>
        <w:t xml:space="preserve">You are not restricted or limited to this provider.  </w:t>
      </w:r>
    </w:p>
    <w:p>
      <w:pPr>
        <w:pStyle w:val="BodyText"/>
        <w:ind w:start="-720" w:end="-1440"/>
        <w:rPr>
          <w:szCs w:val="20"/>
        </w:rPr>
      </w:pPr>
      <w:r>
        <w:rPr>
          <w:szCs w:val="20"/>
        </w:rPr>
      </w:r>
    </w:p>
    <w:p>
      <w:pPr>
        <w:pStyle w:val="BodyText"/>
        <w:rPr/>
      </w:pPr>
      <w:r>
        <w:rPr>
          <w:szCs w:val="20"/>
        </w:rPr>
        <w:t>4Guys Interactive, Inc.</w:t>
      </w:r>
      <w:r>
        <w:rPr/>
        <w:t xml:space="preserve">  –</w:t>
      </w:r>
    </w:p>
    <w:p>
      <w:pPr>
        <w:pStyle w:val="BodyText"/>
        <w:rPr>
          <w:szCs w:val="20"/>
        </w:rPr>
      </w:pPr>
      <w:r>
        <w:rPr>
          <w:szCs w:val="20"/>
        </w:rPr>
        <w:t>Phone - 281.807.4344  Option 2 for tech support</w:t>
      </w:r>
    </w:p>
    <w:p>
      <w:pPr>
        <w:pStyle w:val="BodyText"/>
        <w:rPr>
          <w:szCs w:val="20"/>
        </w:rPr>
      </w:pPr>
      <w:r>
        <w:rPr>
          <w:szCs w:val="20"/>
        </w:rPr>
        <w:t>Email: Support@4Guys.Com</w:t>
      </w:r>
    </w:p>
    <w:p>
      <w:pPr>
        <w:pStyle w:val="BodyText"/>
        <w:rPr>
          <w:szCs w:val="20"/>
        </w:rPr>
      </w:pPr>
      <w:r>
        <w:rPr>
          <w:szCs w:val="20"/>
        </w:rPr>
        <w:t>$150/per hour</w:t>
      </w:r>
    </w:p>
    <w:p>
      <w:pPr>
        <w:pStyle w:val="BodyText"/>
        <w:rPr/>
      </w:pPr>
      <w:r>
        <w:rPr/>
        <w:t>Please call to schedule home visit – same day service not available</w:t>
      </w:r>
    </w:p>
    <w:p>
      <w:pPr>
        <w:pStyle w:val="BodyText"/>
        <w:ind w:start="-720" w:end="-1440"/>
        <w:rPr>
          <w:szCs w:val="20"/>
        </w:rPr>
      </w:pPr>
      <w:r>
        <w:rPr>
          <w:szCs w:val="20"/>
        </w:rPr>
      </w:r>
    </w:p>
    <w:p>
      <w:pPr>
        <w:pStyle w:val="BodyText"/>
        <w:ind w:start="-720" w:end="-1440"/>
        <w:rPr>
          <w:szCs w:val="20"/>
        </w:rPr>
      </w:pPr>
      <w:r>
        <w:rPr>
          <w:szCs w:val="20"/>
        </w:rPr>
      </w:r>
    </w:p>
    <w:p>
      <w:pPr>
        <w:pStyle w:val="BodyText"/>
        <w:ind w:start="-720" w:end="-1440"/>
        <w:rPr>
          <w:szCs w:val="20"/>
        </w:rPr>
      </w:pPr>
      <w:r>
        <w:rPr>
          <w:szCs w:val="20"/>
        </w:rPr>
        <w:t>For problems with Enron home equipment, you must bring equipment to Enron for repair.  Submit a request with  the Resolution Center at ext 31411 to have your equipment serviced . A hardware technician will pick it up and contact you once the equipment is repaired.  We do not support any non-standard Enron or any Click-at-home equipment.</w:t>
      </w:r>
    </w:p>
    <w:p>
      <w:pPr>
        <w:pStyle w:val="BodyText"/>
        <w:ind w:start="-720" w:end="-1440"/>
        <w:rPr>
          <w:szCs w:val="20"/>
        </w:rPr>
      </w:pPr>
      <w:r>
        <w:rPr>
          <w:szCs w:val="20"/>
        </w:rPr>
      </w:r>
    </w:p>
    <w:p>
      <w:pPr>
        <w:pStyle w:val="BodyText"/>
        <w:ind w:start="-720" w:end="-1440"/>
        <w:rPr/>
      </w:pPr>
      <w:r>
        <w:rPr/>
        <w:t>If you have any questions, please contact Carolyn Evans at ext. 57520.</w:t>
      </w:r>
    </w:p>
    <w:p>
      <w:pPr>
        <w:pStyle w:val="BodyText"/>
        <w:tabs>
          <w:tab w:val="clear" w:pos="720"/>
          <w:tab w:val="left" w:pos="2340" w:leader="none"/>
        </w:tabs>
        <w:ind w:start="-720" w:end="-1440"/>
        <w:rPr/>
      </w:pPr>
      <w:r>
        <w:rPr/>
      </w:r>
    </w:p>
    <w:p>
      <w:pPr>
        <w:pStyle w:val="Normal"/>
        <w:ind w:start="-720" w:end="0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"/>
      <w:lvlJc w:val="start"/>
      <w:pPr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4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2001-12-06T13:11:00Z</dcterms:created>
  <dc:creator>pcox</dc:creator>
  <dc:description/>
  <dc:language>en-CA</dc:language>
  <cp:lastModifiedBy>pcox</cp:lastModifiedBy>
  <dcterms:modified xsi:type="dcterms:W3CDTF">2001-12-06T13:11:00Z</dcterms:modified>
  <cp:revision>3</cp:revision>
  <dc:subject/>
  <dc:title>Announcement  to Managing Directors and Above</dc:title>
</cp:coreProperties>
</file>