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1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ISDA 1992 MASTER AGREEMENTS</w:t>
        <w:br/>
        <w:t>(MULTICURRENCY – CROSS BORDER)</w:t>
        <w:br/>
        <w:t>PROTOCOL</w:t>
      </w:r>
    </w:p>
    <w:p>
      <w:pPr>
        <w:pStyle w:val="Heading"/>
        <w:rPr>
          <w:color w:val="000000"/>
        </w:rPr>
      </w:pPr>
      <w:r>
        <w:rPr>
          <w:color w:val="000000"/>
        </w:rPr>
        <w:t>ANNEX 1</w:t>
      </w:r>
    </w:p>
    <w:p>
      <w:pPr>
        <w:pStyle w:val="Subtitle"/>
        <w:rPr/>
      </w:pPr>
      <w:r>
        <w:rPr/>
        <w:t>SECTION 2(a)(iv)</w:t>
      </w:r>
    </w:p>
    <w:p>
      <w:pPr>
        <w:pStyle w:val="BodyTextFirstIndent"/>
        <w:rPr/>
      </w:pPr>
      <w:r>
        <w:rPr/>
        <w:t>The terms of Section 2(a) of each ISDA Master Agreement are amended by the addition of the following subclause (iv) (with all other provisions of Section 2 of the ISDA Master Agreement remaining in full force and effect):</w:t>
      </w:r>
    </w:p>
    <w:p>
      <w:pPr>
        <w:sectPr>
          <w:headerReference w:type="default" r:id="rId2"/>
          <w:headerReference w:type="first" r:id="rId3"/>
          <w:footerReference w:type="default" r:id="rId4"/>
          <w:footerReference w:type="first" r:id="rId5"/>
          <w:type w:val="nextPage"/>
          <w:pgSz w:w="12240" w:h="15840"/>
          <w:pgMar w:left="1440" w:right="1440" w:gutter="0" w:header="720" w:top="1800" w:footer="1080" w:bottom="1440"/>
          <w:pgNumType w:fmt="decimal"/>
          <w:formProt w:val="false"/>
          <w:titlePg/>
          <w:textDirection w:val="lrTb"/>
          <w:docGrid w:type="default" w:linePitch="360" w:charSpace="0"/>
        </w:sectPr>
        <w:pStyle w:val="BlockText"/>
        <w:rPr/>
      </w:pPr>
      <w:r>
        <w:rPr/>
        <w:t xml:space="preserve">(iv)  In addition to the condition precedent set out in Subsection 2(a)(iii), each obligation of each party under Section 2(a)(i) is subject to, with respect to all Affected Transactions, the condition precedent that no Additional Termination Event in respect of which all then outstanding Transactions are, or would, upon the designation of an Early Termination Date, be Affected Transactions, has occurred and is continuing with respect to which the other party is an Affected Party. </w:t>
      </w:r>
    </w:p>
    <w:p>
      <w:pPr>
        <w:pStyle w:val="Heading"/>
        <w:rPr/>
      </w:pPr>
      <w:r>
        <w:rPr>
          <w:color w:val="000000"/>
        </w:rPr>
        <w:t>ISDA 1992 MASTER AGREEMENTS</w:t>
        <w:br/>
      </w:r>
      <w:r>
        <w:rPr/>
        <w:t>(MULTICURRENCY – CROSS BORDER)</w:t>
        <w:br/>
      </w:r>
      <w:r>
        <w:rPr>
          <w:color w:val="000000"/>
        </w:rPr>
        <w:t>PROTOCOL</w:t>
      </w:r>
    </w:p>
    <w:p>
      <w:pPr>
        <w:pStyle w:val="Subtitle"/>
        <w:rPr/>
      </w:pPr>
      <w:r>
        <w:rPr/>
        <w:t>ANNEX 2</w:t>
      </w:r>
    </w:p>
    <w:p>
      <w:pPr>
        <w:pStyle w:val="Subtitle"/>
        <w:rPr/>
      </w:pPr>
      <w:r>
        <w:rPr/>
        <w:t>SECTION 5(a)(i)</w:t>
      </w:r>
    </w:p>
    <w:p>
      <w:pPr>
        <w:pStyle w:val="BodyTextFirstIndent"/>
        <w:rPr/>
      </w:pPr>
      <w:r>
        <w:rPr/>
        <w:t>The terms of Section 5(a)(i) of each ISDA Master Agreement are amended in their entirety as follows (with all other provisions of Section 5 of the ISDA Master Agreement remaining in full force and effect):</w:t>
      </w:r>
    </w:p>
    <w:p>
      <w:pPr>
        <w:pStyle w:val="BodyText"/>
        <w:numPr>
          <w:ilvl w:val="0"/>
          <w:numId w:val="12"/>
        </w:numPr>
        <w:rPr/>
      </w:pPr>
      <w:r>
        <w:rPr>
          <w:b/>
          <w:i/>
        </w:rPr>
        <w:t>Failure to Pay or Deliver.</w:t>
      </w:r>
      <w:r>
        <w:rPr>
          <w:b/>
        </w:rPr>
        <w:t xml:space="preserve"> </w:t>
      </w:r>
      <w:r>
        <w:rPr/>
        <w:t xml:space="preserve"> Failure by the party to make, when due, any payment under this Agreement or delivery under Section 2(a)(i) or 2(e) required to be made by it if such failure is not remedied (1) in the case of any such payment, on or before the first Local Business Day after notice of such failure is given to the party; and (2) in the case of any such delivery, on or before the first Local Delivery Day after notice of such failure is given to the party;</w:t>
      </w:r>
    </w:p>
    <w:p>
      <w:pPr>
        <w:pStyle w:val="BodyText"/>
        <w:rPr/>
      </w:pPr>
      <w:r>
        <w:rPr/>
      </w:r>
    </w:p>
    <w:p>
      <w:pPr>
        <w:pStyle w:val="BodyText"/>
        <w:ind w:firstLine="720" w:end="0"/>
        <w:rPr/>
      </w:pPr>
      <w:r>
        <w:rPr/>
        <w:t>The terms of Section 14 of each ISDA Master Agreement are amended by the addition of the following term “Local Delivery Date”</w:t>
      </w:r>
    </w:p>
    <w:p>
      <w:pPr>
        <w:sectPr>
          <w:headerReference w:type="default" r:id="rId6"/>
          <w:headerReference w:type="first" r:id="rId7"/>
          <w:footerReference w:type="default" r:id="rId8"/>
          <w:footerReference w:type="first" r:id="rId9"/>
          <w:type w:val="nextPage"/>
          <w:pgSz w:w="12240" w:h="15840"/>
          <w:pgMar w:left="1440" w:right="1440" w:gutter="0" w:header="720" w:top="1800" w:footer="1080" w:bottom="1440"/>
          <w:pgNumType w:fmt="decimal"/>
          <w:formProt w:val="false"/>
          <w:titlePg/>
          <w:textDirection w:val="lrTb"/>
          <w:docGrid w:type="default" w:linePitch="360" w:charSpace="0"/>
        </w:sectPr>
        <w:pStyle w:val="BodyText"/>
        <w:ind w:firstLine="720" w:end="0"/>
        <w:rPr/>
      </w:pPr>
      <w:r>
        <w:rPr>
          <w:b/>
          <w:bCs/>
          <w:i/>
          <w:iCs/>
        </w:rPr>
        <w:t>“</w:t>
      </w:r>
      <w:r>
        <w:rPr>
          <w:b/>
          <w:bCs/>
          <w:i/>
          <w:iCs/>
        </w:rPr>
        <w:t>Local Delivery Date”</w:t>
      </w:r>
      <w:r>
        <w:rPr/>
        <w:t xml:space="preserve"> means, subject to any Schedule, a day on which customary settlement systems in respect of any delivery obligation under Section 2(a)(i) are open for business such that the delivery is capable of being accomplished in accordance with customary market practice[, in the place specified in the relevant Confirmation or, if not so specified, in accordance with customary market practices for the delivery of such obligation].  </w:t>
      </w:r>
    </w:p>
    <w:p>
      <w:pPr>
        <w:pStyle w:val="Heading"/>
        <w:rPr/>
      </w:pPr>
      <w:r>
        <w:rPr/>
        <w:t>ISDA 1992 MASTER AGREEMENTS</w:t>
        <w:br/>
        <w:t>(MULTICURRENCY – CROSS BORDER)</w:t>
        <w:br/>
        <w:t>PROTOCOL</w:t>
      </w:r>
    </w:p>
    <w:p>
      <w:pPr>
        <w:pStyle w:val="Subtitle"/>
        <w:rPr/>
      </w:pPr>
      <w:r>
        <w:rPr/>
        <w:t>ANNEX 3</w:t>
      </w:r>
    </w:p>
    <w:p>
      <w:pPr>
        <w:pStyle w:val="Subtitle"/>
        <w:rPr/>
      </w:pPr>
      <w:r>
        <w:rPr/>
        <w:t>SECTION 5(a)(v)</w:t>
      </w:r>
    </w:p>
    <w:p>
      <w:pPr>
        <w:pStyle w:val="BodyTextFirstIndent"/>
        <w:rPr/>
      </w:pPr>
      <w:r>
        <w:rPr/>
        <w:t>The terms of Section 5(a)(v)(2) of each ISDA Master Agreement are amended in their entirety as follows (with all other provisions of Section 5 and Section 5(a)(v) of the ISDA Master Agreement remaining in full force and effect):</w:t>
      </w:r>
    </w:p>
    <w:p>
      <w:pPr>
        <w:pStyle w:val="Normal"/>
        <w:ind w:start="1440" w:end="0"/>
        <w:rPr>
          <w:color w:val="000000"/>
        </w:rPr>
      </w:pPr>
      <w:r>
        <w:rPr>
          <w:color w:val="000000"/>
        </w:rPr>
        <w:t>(2) defaults under a Specified Transaction, after giving effect to any applicable notice requirement or grace period, in making any payment or delivery due on the last payment, delivery or exchange date of, or any payment on early termination of, such Specified Transaction (or such default continues for at least one Local Business Day, in respect to any payment, or Local Delivery Date, in respect to any delivery, if there is no applicable notice requirement or grace period), and, in the case of a failure to deliver, such failure constitutes an event of default with respect to all transactions included under the documentation applicable to such Specified Transaction or</w:t>
      </w:r>
    </w:p>
    <w:p>
      <w:pPr>
        <w:pStyle w:val="BodyText"/>
        <w:ind w:firstLine="720" w:end="0"/>
        <w:rPr>
          <w:color w:val="000000"/>
        </w:rPr>
      </w:pPr>
      <w:r>
        <w:rPr>
          <w:color w:val="000000"/>
        </w:rPr>
      </w:r>
    </w:p>
    <w:p>
      <w:pPr>
        <w:pStyle w:val="BodyText"/>
        <w:ind w:firstLine="720" w:end="0"/>
        <w:rPr/>
      </w:pPr>
      <w:r>
        <w:rPr/>
        <w:t>To the extent not already so amended by Annex 2 of the Protocol, the terms of Section 14 of each ISDA Master Agreement are amended by the addition of the following term “Local Delivery Date”:</w:t>
      </w:r>
    </w:p>
    <w:p>
      <w:pPr>
        <w:pStyle w:val="BodyText"/>
        <w:ind w:firstLine="720" w:end="0"/>
        <w:rPr/>
      </w:pPr>
      <w:r>
        <w:rPr>
          <w:b/>
          <w:bCs/>
          <w:i/>
          <w:iCs/>
        </w:rPr>
        <w:t>“</w:t>
      </w:r>
      <w:r>
        <w:rPr>
          <w:b/>
          <w:bCs/>
          <w:i/>
          <w:iCs/>
        </w:rPr>
        <w:t>Local Delivery Date”</w:t>
      </w:r>
      <w:r>
        <w:rPr/>
        <w:t xml:space="preserve"> means, subject to any Schedule, a day on which customary settlement systems in respect of any delivery obligation under Section 2(a)(i) are open for business such that the delivery is capable of being accomplished in accordance with customary market practice[, in the place specified in the relevant Confirmation or, if not so specified, in accordance with customary market practices for the delivery of such obligation].  </w:t>
      </w:r>
    </w:p>
    <w:p>
      <w:pPr>
        <w:pStyle w:val="Normal"/>
        <w:ind w:start="0" w:end="0"/>
        <w:rPr>
          <w:color w:val="000000"/>
        </w:rPr>
      </w:pPr>
      <w:r>
        <w:rPr>
          <w:color w:val="000000"/>
        </w:rPr>
      </w:r>
    </w:p>
    <w:p>
      <w:pPr>
        <w:sectPr>
          <w:headerReference w:type="default" r:id="rId10"/>
          <w:headerReference w:type="first" r:id="rId11"/>
          <w:footerReference w:type="default" r:id="rId12"/>
          <w:footerReference w:type="first" r:id="rId13"/>
          <w:type w:val="nextPage"/>
          <w:pgSz w:w="12240" w:h="15840"/>
          <w:pgMar w:left="1440" w:right="1440" w:gutter="0" w:header="720" w:top="1800" w:footer="1080" w:bottom="1440"/>
          <w:pgNumType w:fmt="decimal"/>
          <w:formProt w:val="false"/>
          <w:titlePg/>
          <w:textDirection w:val="lrTb"/>
          <w:docGrid w:type="default" w:linePitch="360" w:charSpace="0"/>
        </w:sectPr>
        <w:pStyle w:val="Normal"/>
        <w:ind w:start="0" w:end="0"/>
        <w:rPr>
          <w:color w:val="000000"/>
        </w:rPr>
      </w:pPr>
      <w:r>
        <w:rPr>
          <w:color w:val="000000"/>
        </w:rPr>
        <w:t xml:space="preserve"> </w:t>
      </w:r>
    </w:p>
    <w:p>
      <w:pPr>
        <w:pStyle w:val="Heading"/>
        <w:rPr/>
      </w:pPr>
      <w:r>
        <w:rPr/>
        <w:t>ISDA 1992 MASTER AGREEMENTS</w:t>
        <w:br/>
        <w:t>(MULTICURRENCY – CROSS BORDER)</w:t>
        <w:br/>
      </w:r>
      <w:r>
        <w:rPr>
          <w:color w:val="000000"/>
        </w:rPr>
        <w:t>PROTOCOL</w:t>
      </w:r>
    </w:p>
    <w:p>
      <w:pPr>
        <w:pStyle w:val="Subtitle"/>
        <w:rPr/>
      </w:pPr>
      <w:r>
        <w:rPr/>
        <w:t>ANNEX 4</w:t>
      </w:r>
    </w:p>
    <w:p>
      <w:pPr>
        <w:pStyle w:val="Subtitle"/>
        <w:rPr/>
      </w:pPr>
      <w:r>
        <w:rPr/>
        <w:t>SECTION 5(a)(vii)</w:t>
      </w:r>
    </w:p>
    <w:p>
      <w:pPr>
        <w:pStyle w:val="BodyTextFirstIndent"/>
        <w:rPr/>
      </w:pPr>
      <w:r>
        <w:rPr/>
        <w:t>The terms of Section 5(a)(vii)(4) of each ISDA Master Agreement are amended in their entirety as follows (with all other provisions of Section 5 and Section 5(a)(viii) of the ISDA Master Agreement remaining in full force and effect):</w:t>
      </w:r>
    </w:p>
    <w:p>
      <w:pPr>
        <w:pStyle w:val="BlockText"/>
        <w:rPr/>
      </w:pPr>
      <w:r>
        <w:rPr/>
        <w:t xml:space="preserve">(4)(A) institutes, or has instituted against it by a regulator, supervisor or any similar official with primary insolvency or rehabilitative jurisdiction over it in the jurisdiction of its incorporation or organization or the jurisdiction of its head or home office, a proceeding seeking a judgment of insolvency or bankruptcy or any other relief under any bankruptcy, insolvency, regulatory or supervisory law or other similar law affecting creditors' rights, or a petition is presented for its winding-up or liquidation by it or such regulator, supervisor or official, or (B) has instituted against it a proceeding seeking a judgment of insolvency or bankruptcy or any other relief under any bankruptcy or insolvency law or other similar law affecting creditors’ rights, or a petition is presented for its winding-up or liquidation, and such proceeding or petition is instituted or presented by a person or entity not described in clause (A) and either (I) results in a judgment of insolvency or bankruptcy or the entry of an order for relief or the making of an order for its winding-up or liquidation or (II) is not dismissed, discharged, stayed  or restrained in each case within 5 days of the institution or presentation thereof; </w:t>
      </w:r>
    </w:p>
    <w:p>
      <w:pPr>
        <w:pStyle w:val="BlockText"/>
        <w:ind w:start="0" w:end="0"/>
        <w:rPr/>
      </w:pPr>
      <w:r>
        <w:rPr/>
        <w:tab/>
        <w:t>The terms of Section 6(a) of each ISDA Master Agreement are amended (with all other provisions of Section 6 and Section 6(a) of the ISDA Master Agreement remaining in full force and effect) so as to delete the reference to “Section 5(a)(vii)(4)” and replace it with a reference to “sub-Section 5(a)(vii)(A)”.</w:t>
      </w:r>
    </w:p>
    <w:p>
      <w:pPr>
        <w:pStyle w:val="BlockText"/>
        <w:rPr/>
      </w:pPr>
      <w:r>
        <w:rPr/>
      </w:r>
      <w:r>
        <w:br w:type="page"/>
      </w:r>
    </w:p>
    <w:p>
      <w:pPr>
        <w:pStyle w:val="Heading"/>
        <w:rPr/>
      </w:pPr>
      <w:r>
        <w:rPr/>
        <w:t>ISDA 1992 MASTER AGREEMENTS</w:t>
        <w:br/>
        <w:t>(MULTICURRENCY – CROSS BORDER)</w:t>
        <w:br/>
        <w:t>PROTOCOL</w:t>
      </w:r>
    </w:p>
    <w:p>
      <w:pPr>
        <w:pStyle w:val="Subtitle"/>
        <w:rPr/>
      </w:pPr>
      <w:r>
        <w:rPr/>
        <w:t>ANNEX 5</w:t>
      </w:r>
    </w:p>
    <w:p>
      <w:pPr>
        <w:pStyle w:val="Subtitle"/>
        <w:rPr/>
      </w:pPr>
      <w:r>
        <w:rPr/>
        <w:t>SECTION 5(b)(iv)</w:t>
      </w:r>
    </w:p>
    <w:p>
      <w:pPr>
        <w:pStyle w:val="BodyTextFirstIndent"/>
        <w:rPr/>
      </w:pPr>
      <w:r>
        <w:rPr/>
        <w:t>The terms of Section 5(b)(iv) of each ISDA Master Agreement are amended in their entirety as follows (with all other provisions of Section 5 of the ISDA Master Agreement remaining in full force and effect):</w:t>
      </w:r>
    </w:p>
    <w:p>
      <w:pPr>
        <w:pStyle w:val="BodyText"/>
        <w:rPr/>
      </w:pPr>
      <w:r>
        <w:rPr/>
        <w:t xml:space="preserve">(iv)  </w:t>
      </w:r>
      <w:r>
        <w:rPr>
          <w:b/>
          <w:i/>
        </w:rPr>
        <w:t>Credit Event Upon Merger.</w:t>
      </w:r>
      <w:r>
        <w:rPr/>
        <w:t xml:space="preserve">  If “Credit Event Upon Merger” is specified in the Schedule as applying to the party and a Designated Event (as defined below) occurs with respect to such party, any Credit Support Provider of such party or any applicable Specified Entity of such party (in each case, “X”) and such Designated Event does not constitute a Merger Without Assumption under Section 5(a)(viii) and the creditworthiness of X or, if applicable, the successor, surviving or transferee entity of X, after taking into account any applicable Credit Support Document, is materially weaker than that of X immediately prior to the occurrence of such Designated Event (and, in any such event, such party or its successor, surviving or transferee entity, as appropriate, will be the Affected Party).  A “Designated Event” with respect to X means that, after the date of this Agreement:</w:t>
      </w:r>
    </w:p>
    <w:p>
      <w:pPr>
        <w:pStyle w:val="BodyTextFirstIndent2"/>
        <w:rPr/>
      </w:pPr>
      <w:r>
        <w:rPr/>
        <w:t>(1) X consolidates or amalgamates with, or merges with or into, or transfers all or substantially all its assets (or any substantial part of the assets comprising the business conducted by X as of the date of this Agreement) to another entity;</w:t>
      </w:r>
    </w:p>
    <w:p>
      <w:pPr>
        <w:pStyle w:val="BodyTextFirstIndent2"/>
        <w:rPr>
          <w:color w:val="000000"/>
        </w:rPr>
      </w:pPr>
      <w:r>
        <w:rPr>
          <w:color w:val="000000"/>
        </w:rPr>
        <w:t>(2) any person, related group of persons or entity acquires directly or indirectly the beneficial ownership of (A) equity securities having the power to elect a majority of the board of directors (or its equivalent) of X or (B) any other ownership interest enabling it to exercise control of (X); or</w:t>
      </w:r>
    </w:p>
    <w:p>
      <w:pPr>
        <w:sectPr>
          <w:headerReference w:type="default" r:id="rId14"/>
          <w:headerReference w:type="first" r:id="rId15"/>
          <w:footerReference w:type="default" r:id="rId16"/>
          <w:footerReference w:type="first" r:id="rId17"/>
          <w:type w:val="nextPage"/>
          <w:pgSz w:w="12240" w:h="15840"/>
          <w:pgMar w:left="1440" w:right="1440" w:gutter="0" w:header="720" w:top="1800" w:footer="1080" w:bottom="1440"/>
          <w:pgNumType w:fmt="decimal"/>
          <w:formProt w:val="false"/>
          <w:titlePg/>
          <w:textDirection w:val="lrTb"/>
          <w:docGrid w:type="default" w:linePitch="360" w:charSpace="0"/>
        </w:sectPr>
        <w:pStyle w:val="BodyTextFirstIndent2"/>
        <w:rPr>
          <w:color w:val="000000"/>
        </w:rPr>
      </w:pPr>
      <w:r>
        <w:rPr>
          <w:color w:val="000000"/>
        </w:rPr>
        <w:t>(3) X effects any substantial change in its capital structure by means of the issuance, incurrence or guarantee of debt or the issuance of (A) preferred stock or other securities convertible into, or exchangeable for debt or preferred stock or (B) any other form of ownership interest;</w:t>
      </w:r>
    </w:p>
    <w:p>
      <w:pPr>
        <w:pStyle w:val="Heading"/>
        <w:rPr/>
      </w:pPr>
      <w:r>
        <w:rPr/>
        <w:t>ISDA 1992 MASTER AGREEMENTS</w:t>
        <w:br/>
        <w:t>(MULTICURRENCY – CROSS BORDER)</w:t>
        <w:br/>
      </w:r>
      <w:r>
        <w:rPr>
          <w:color w:val="000000"/>
        </w:rPr>
        <w:t>PROTOCOL</w:t>
      </w:r>
    </w:p>
    <w:p>
      <w:pPr>
        <w:pStyle w:val="Subtitle"/>
        <w:rPr/>
      </w:pPr>
      <w:r>
        <w:rPr/>
        <w:t>ANNEX 6</w:t>
      </w:r>
    </w:p>
    <w:p>
      <w:pPr>
        <w:pStyle w:val="Subtitle"/>
        <w:rPr/>
      </w:pPr>
      <w:r>
        <w:rPr/>
        <w:t>NOTICES</w:t>
      </w:r>
    </w:p>
    <w:p>
      <w:pPr>
        <w:pStyle w:val="Subtitle"/>
        <w:rPr/>
      </w:pPr>
      <w:r>
        <w:rPr/>
        <w:t>Section 12(a)</w:t>
      </w:r>
    </w:p>
    <w:p>
      <w:pPr>
        <w:pStyle w:val="BodyTextFirstIndent"/>
        <w:rPr/>
      </w:pPr>
      <w:r>
        <w:rPr/>
        <w:t>The terms of Section 12(a) of each ISDA Master Agreement are amended in their entirety as follows (with all other provisions of Section 12 remaining in full force and effect):</w:t>
      </w:r>
    </w:p>
    <w:p>
      <w:pPr>
        <w:pStyle w:val="BodyText"/>
        <w:rPr/>
      </w:pPr>
      <w:r>
        <w:rPr/>
        <w:t>(a)</w:t>
        <w:tab/>
      </w:r>
      <w:r>
        <w:rPr>
          <w:b/>
          <w:i/>
        </w:rPr>
        <w:t>Effectiveness.</w:t>
      </w:r>
      <w:r>
        <w:rPr>
          <w:b/>
        </w:rPr>
        <w:t xml:space="preserve"> </w:t>
      </w:r>
      <w:r>
        <w:rPr/>
        <w:t xml:space="preserve"> Any notice or other communication in respect of this Agreement may be given in any manner set forth below</w:t>
      </w:r>
      <w:r>
        <w:rPr>
          <w:b/>
        </w:rPr>
        <w:t xml:space="preserve"> </w:t>
      </w:r>
      <w:r>
        <w:rPr/>
        <w:t>to the address or number or in accordance with the e-mail or electronic messaging system details provided (see the Schedule) and will be deemed effective as indicated:—</w:t>
      </w:r>
    </w:p>
    <w:p>
      <w:pPr>
        <w:pStyle w:val="BodyTextIndent"/>
        <w:rPr/>
      </w:pPr>
      <w:r>
        <w:rPr/>
        <w:t>(i)   if in writing and delivered in person or by courier, on the date it is delivered;</w:t>
      </w:r>
    </w:p>
    <w:p>
      <w:pPr>
        <w:pStyle w:val="BodyTextIndent"/>
        <w:rPr/>
      </w:pPr>
      <w:r>
        <w:rPr/>
        <w:t>(ii)  if sent by telex, on the date the recipient's answerback is received;</w:t>
      </w:r>
    </w:p>
    <w:p>
      <w:pPr>
        <w:pStyle w:val="BodyTextIndent"/>
        <w:rPr/>
      </w:pPr>
      <w:r>
        <w:rPr/>
        <w:t>(iii) if sent by facsimile transmission, on the date that transmission is received by a responsible employee of the recipient in legible form (it being agreed that the burden of proving receipt will be on the sender and will not be met by a transmission report generated by the sender's facsimile machine);</w:t>
      </w:r>
    </w:p>
    <w:p>
      <w:pPr>
        <w:pStyle w:val="BodyTextIndent"/>
        <w:rPr/>
      </w:pPr>
      <w:r>
        <w:rPr/>
        <w:t xml:space="preserve">(iv) if sent by certified or registered mail (airmail, if overseas) or the equivalent (return receipt requested), on the date that mail is delivered or its delivery is attempted; </w:t>
      </w:r>
    </w:p>
    <w:p>
      <w:pPr>
        <w:pStyle w:val="BodyTextIndent"/>
        <w:rPr/>
      </w:pPr>
      <w:r>
        <w:rPr/>
        <w:t>(v)  if sent by electronic messaging system, on the date that electronic message is received; or</w:t>
      </w:r>
    </w:p>
    <w:p>
      <w:pPr>
        <w:pStyle w:val="BodyTextIndent"/>
        <w:rPr/>
      </w:pPr>
      <w:r>
        <w:rPr/>
        <w:t>(vi) if sent by e-mail, on the date that e-mail is delivered,</w:t>
      </w:r>
    </w:p>
    <w:p>
      <w:pPr>
        <w:sectPr>
          <w:headerReference w:type="default" r:id="rId18"/>
          <w:headerReference w:type="first" r:id="rId19"/>
          <w:footerReference w:type="default" r:id="rId20"/>
          <w:footerReference w:type="first" r:id="rId21"/>
          <w:type w:val="nextPage"/>
          <w:pgSz w:w="12240" w:h="15840"/>
          <w:pgMar w:left="1440" w:right="1440" w:gutter="0" w:header="720" w:top="1800" w:footer="1080" w:bottom="1440"/>
          <w:pgNumType w:fmt="decimal"/>
          <w:formProt w:val="false"/>
          <w:titlePg/>
          <w:textDirection w:val="lrTb"/>
          <w:docGrid w:type="default" w:linePitch="360" w:charSpace="0"/>
        </w:sectPr>
        <w:pStyle w:val="BodyText"/>
        <w:rPr/>
      </w:pPr>
      <w:r>
        <w:rPr/>
        <w:t>unless the date of the delivery (or attempted delivery) or that receipt, as applicable, is not a Local Business Day or that communication is delivered (or attempted) or received, as applicable, after the close of business on a Local Business Day, in which case that communication shall be deemed given and effective on the first following day that is a Local Business Day.</w:t>
      </w:r>
    </w:p>
    <w:p>
      <w:pPr>
        <w:pStyle w:val="Heading"/>
        <w:rPr/>
      </w:pPr>
      <w:r>
        <w:rPr/>
        <w:t>ISDA 1992 MASTER AGREEMENTS</w:t>
        <w:br/>
        <w:t>(MULTICURRENCY – CROSS BORDER)</w:t>
        <w:br/>
      </w:r>
      <w:r>
        <w:rPr>
          <w:color w:val="000000"/>
        </w:rPr>
        <w:t>PROTOCOL</w:t>
      </w:r>
    </w:p>
    <w:p>
      <w:pPr>
        <w:pStyle w:val="Subtitle"/>
        <w:rPr/>
      </w:pPr>
      <w:r>
        <w:rPr/>
        <w:t>ANNEX 7</w:t>
      </w:r>
    </w:p>
    <w:p>
      <w:pPr>
        <w:pStyle w:val="Subtitle"/>
        <w:rPr/>
      </w:pPr>
      <w:r>
        <w:rPr/>
        <w:t>DEFINITION OF “SPECIFIED TRANSACTION”</w:t>
      </w:r>
    </w:p>
    <w:p>
      <w:pPr>
        <w:pStyle w:val="BodyTextFirstIndent"/>
        <w:rPr/>
      </w:pPr>
      <w:r>
        <w:rPr/>
        <w:t>The term “Specified Transaction” in Section 14 of each ISDA Master Agreement is amended in its entirety as follows (with all other provisions of Section 14 of the ISDA Master Agreement remaining in full force and effect):</w:t>
      </w:r>
    </w:p>
    <w:p>
      <w:pPr>
        <w:pStyle w:val="BodyText"/>
        <w:spacing w:before="0" w:after="240"/>
        <w:rPr/>
      </w:pPr>
      <w:r>
        <w:rPr>
          <w:b/>
          <w:i/>
        </w:rPr>
        <w:t>“</w:t>
      </w:r>
      <w:r>
        <w:rPr>
          <w:b/>
          <w:i/>
        </w:rPr>
        <w:t>Specified Transaction”</w:t>
      </w:r>
      <w:r>
        <w:rPr/>
        <w:t xml:space="preserve"> means, subject to the Schedule, (a) any transaction (including an agreement with respect thereto) now existing or hereafter entered into between one party to this Agreement (or any Credit Support Provider of such party or any applicable Specified Entity of such party) and the other party to this Agreement (or any Credit Support Provider of such other party or any applicable Specified Entity of such other party) (i) which is a</w:t>
      </w:r>
      <w:r>
        <w:rPr>
          <w:b/>
        </w:rPr>
        <w:t xml:space="preserve"> </w:t>
      </w:r>
      <w:r>
        <w:rPr/>
        <w:t>rate swap transaction, swap option, basis swap, forward rate transaction, commodity swap, commodity option, equity or equity index swap, equity or equity index option, bond option, interest rate option, foreign exchange transaction, cap transaction, floor transaction, collar transaction, currency swap transaction, cross-currency rate swap transaction, currency option, credit protection transaction, credit swap, credit default swap, credit default option, total return swap, credit spread transaction, repurchase transaction, reverse repurchase transaction, buy/sell-back transaction, securities lending transaction, or forward purchase or sale of a security, commodity or other financial instrument or interest (including any option with respect to any of these transactions) or (ii) which is a type of transaction that is similar to any transaction referred to in clause (i) that is currently, or in the future becomes, recurrently entered into in the financial markets (including terms and conditions incorporated by reference in such agreement) and that is a forward, swap, future, option or other derivative on one or more rates, currencies, commodities, equity securities or other equity instruments, debt securities or other debt instruments, or economic indices or measures of economic risk or value, (b) any combination of these transactions and (c) any other transaction identified as a Specified Transaction in this Agreement or the relevant confirmation.</w:t>
      </w:r>
    </w:p>
    <w:sectPr>
      <w:headerReference w:type="default" r:id="rId22"/>
      <w:headerReference w:type="first" r:id="rId23"/>
      <w:footerReference w:type="default" r:id="rId24"/>
      <w:footerReference w:type="first" r:id="rId25"/>
      <w:type w:val="nextPage"/>
      <w:pgSz w:w="12240" w:h="15840"/>
      <w:pgMar w:left="1440" w:right="1440" w:gutter="0" w:header="720" w:top="1800" w:footer="108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1"/>
      <w:pBdr>
        <w:top w:val="nil"/>
      </w:pBdr>
      <w:rPr/>
    </w:pPr>
    <w:r>
      <w:rPr/>
      <w:t>NY:13777.2</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NY:13777.2</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1"/>
      <w:pBdr>
        <w:top w:val="nil"/>
      </w:pBdr>
      <w:rPr/>
    </w:pPr>
    <w:r>
      <w:rPr/>
      <w:t>NY:13777.2</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NY:13777.2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NY:13777.2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1"/>
      <w:pBdr>
        <w:top w:val="nil"/>
      </w:pBdr>
      <w:rPr/>
    </w:pPr>
    <w:r>
      <w:rPr/>
      <w:t>NY:13777.2</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NY:13777.2</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1"/>
      <w:pBdr>
        <w:top w:val="nil"/>
      </w:pBdr>
      <w:rPr/>
    </w:pPr>
    <w:r>
      <w:rPr/>
      <w:t>NY:13777.2</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NY:13777.2</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1"/>
      <w:pBdr>
        <w:top w:val="nil"/>
      </w:pBdr>
      <w:rPr/>
    </w:pPr>
    <w:r>
      <w:rPr/>
      <w:t>NY:13777.2</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NY:13777.2</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1"/>
      <w:pBdr>
        <w:top w:val="nil"/>
      </w:pBdr>
      <w:rPr/>
    </w:pPr>
    <w:r>
      <w:rPr/>
      <w:t>NY:13777.2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1"/>
      <w:pBdr>
        <w:bottom w:val="nil"/>
      </w:pBdr>
      <w:rPr/>
    </w:pPr>
    <w:r>
      <w:rPr/>
      <w:tab/>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1"/>
      <w:pBdr>
        <w:bottom w:val="nil"/>
      </w:pBdr>
      <w:rPr/>
    </w:pPr>
    <w:r>
      <w:rPr/>
      <w:tab/>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start="0" w:end="0"/>
      <w:jc w:val="end"/>
      <w:rPr>
        <w:lang w:val="en-GB"/>
      </w:rPr>
    </w:pPr>
    <w:r>
      <w:rPr>
        <w:lang w:val="en-GB"/>
      </w:rPr>
      <w:t>NY:13777.2</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1"/>
      <w:pBdr>
        <w:bottom w:val="nil"/>
      </w:pBdr>
      <w:rPr/>
    </w:pPr>
    <w:r>
      <w:rPr/>
      <w:tab/>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1"/>
      <w:pBdr>
        <w:bottom w:val="nil"/>
      </w:pBdr>
      <w:rPr/>
    </w:pPr>
    <w:r>
      <w:rPr/>
      <w:tab/>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1"/>
      <w:pBdr>
        <w:bottom w:val="nil"/>
      </w:pBdr>
      <w:rPr/>
    </w:pPr>
    <w:r>
      <w:rPr/>
      <w:tab/>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1"/>
      <w:pBdr>
        <w:bottom w:val="nil"/>
      </w:pBdr>
      <w:rPr/>
    </w:pP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lowerRoman"/>
      <w:lvlText w:val="(%1)"/>
      <w:lvlJc w:val="start"/>
      <w:pPr>
        <w:tabs>
          <w:tab w:val="num" w:pos="1080"/>
        </w:tabs>
        <w:ind w:start="108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docVars>
    <w:docVar w:name="DocRef" w:val="NY:13777.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ind w:hanging="0" w:start="144" w:end="0"/>
      <w:jc w:val="both"/>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spacing w:before="0" w:after="240"/>
      <w:ind w:hanging="0" w:start="0" w:end="0"/>
      <w:outlineLvl w:val="0"/>
    </w:pPr>
    <w:rPr>
      <w:b/>
      <w:caps/>
      <w:kern w:val="2"/>
      <w:lang w:val="en-GB"/>
    </w:rPr>
  </w:style>
  <w:style w:type="paragraph" w:styleId="Heading2">
    <w:name w:val="heading 2"/>
    <w:basedOn w:val="Normal"/>
    <w:next w:val="Normal"/>
    <w:qFormat/>
    <w:pPr>
      <w:keepNext w:val="true"/>
      <w:numPr>
        <w:ilvl w:val="1"/>
        <w:numId w:val="1"/>
      </w:numPr>
      <w:spacing w:before="0" w:after="240"/>
      <w:ind w:hanging="0" w:start="0" w:end="0"/>
      <w:outlineLvl w:val="1"/>
    </w:pPr>
    <w:rPr>
      <w:kern w:val="2"/>
      <w:lang w:val="en-GB"/>
    </w:rPr>
  </w:style>
  <w:style w:type="paragraph" w:styleId="Heading3">
    <w:name w:val="heading 3"/>
    <w:basedOn w:val="Normal"/>
    <w:next w:val="Normal"/>
    <w:qFormat/>
    <w:pPr>
      <w:keepNext w:val="true"/>
      <w:numPr>
        <w:ilvl w:val="2"/>
        <w:numId w:val="1"/>
      </w:numPr>
      <w:spacing w:before="0" w:after="240"/>
      <w:ind w:hanging="0" w:start="0" w:end="0"/>
      <w:outlineLvl w:val="2"/>
    </w:pPr>
    <w:rPr>
      <w:kern w:val="2"/>
      <w:lang w:val="en-GB"/>
    </w:rPr>
  </w:style>
  <w:style w:type="paragraph" w:styleId="Heading4">
    <w:name w:val="heading 4"/>
    <w:basedOn w:val="Normal"/>
    <w:next w:val="Normal"/>
    <w:qFormat/>
    <w:pPr>
      <w:keepNext w:val="true"/>
      <w:numPr>
        <w:ilvl w:val="3"/>
        <w:numId w:val="1"/>
      </w:numPr>
      <w:spacing w:before="0" w:after="240"/>
      <w:ind w:hanging="0" w:start="0" w:end="0"/>
      <w:outlineLvl w:val="3"/>
    </w:pPr>
    <w:rPr>
      <w:kern w:val="2"/>
      <w:lang w:val="en-GB"/>
    </w:rPr>
  </w:style>
  <w:style w:type="paragraph" w:styleId="Heading5">
    <w:name w:val="heading 5"/>
    <w:basedOn w:val="Normal"/>
    <w:next w:val="Normal"/>
    <w:qFormat/>
    <w:pPr>
      <w:keepNext w:val="true"/>
      <w:numPr>
        <w:ilvl w:val="4"/>
        <w:numId w:val="1"/>
      </w:numPr>
      <w:spacing w:before="0" w:after="240"/>
      <w:ind w:hanging="0" w:start="0" w:end="0"/>
      <w:outlineLvl w:val="4"/>
    </w:pPr>
    <w:rPr>
      <w:kern w:val="2"/>
      <w:lang w:val="en-GB"/>
    </w:rPr>
  </w:style>
  <w:style w:type="paragraph" w:styleId="Heading6">
    <w:name w:val="heading 6"/>
    <w:basedOn w:val="Normal"/>
    <w:next w:val="Normal"/>
    <w:qFormat/>
    <w:pPr>
      <w:keepNext w:val="true"/>
      <w:numPr>
        <w:ilvl w:val="5"/>
        <w:numId w:val="1"/>
      </w:numPr>
      <w:spacing w:before="240" w:after="60"/>
      <w:ind w:hanging="0" w:start="0" w:end="0"/>
      <w:outlineLvl w:val="5"/>
    </w:pPr>
    <w:rPr>
      <w:kern w:val="2"/>
      <w:lang w:val="en-GB"/>
    </w:rPr>
  </w:style>
  <w:style w:type="paragraph" w:styleId="Heading7">
    <w:name w:val="heading 7"/>
    <w:basedOn w:val="Normal"/>
    <w:next w:val="Normal"/>
    <w:qFormat/>
    <w:pPr>
      <w:keepNext w:val="true"/>
      <w:numPr>
        <w:ilvl w:val="6"/>
        <w:numId w:val="1"/>
      </w:numPr>
      <w:spacing w:before="240" w:after="60"/>
      <w:ind w:hanging="0" w:start="0" w:end="0"/>
      <w:outlineLvl w:val="6"/>
    </w:pPr>
    <w:rPr>
      <w:kern w:val="2"/>
      <w:lang w:val="en-GB"/>
    </w:rPr>
  </w:style>
  <w:style w:type="paragraph" w:styleId="Heading8">
    <w:name w:val="heading 8"/>
    <w:basedOn w:val="Normal"/>
    <w:next w:val="Normal"/>
    <w:qFormat/>
    <w:pPr>
      <w:keepNext w:val="true"/>
      <w:numPr>
        <w:ilvl w:val="7"/>
        <w:numId w:val="1"/>
      </w:numPr>
      <w:spacing w:before="240" w:after="60"/>
      <w:ind w:hanging="0" w:start="0" w:end="0"/>
      <w:outlineLvl w:val="7"/>
    </w:pPr>
    <w:rPr>
      <w:kern w:val="2"/>
      <w:lang w:val="en-GB"/>
    </w:rPr>
  </w:style>
  <w:style w:type="paragraph" w:styleId="Heading9">
    <w:name w:val="heading 9"/>
    <w:basedOn w:val="Normal"/>
    <w:next w:val="Normal"/>
    <w:qFormat/>
    <w:pPr>
      <w:keepNext w:val="true"/>
      <w:numPr>
        <w:ilvl w:val="8"/>
        <w:numId w:val="1"/>
      </w:numPr>
      <w:spacing w:before="240" w:after="60"/>
      <w:ind w:hanging="0" w:start="0" w:end="0"/>
      <w:outlineLvl w:val="8"/>
    </w:pPr>
    <w:rPr>
      <w:kern w:val="2"/>
      <w:lang w:val="en-GB"/>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DefaultParagraphFont">
    <w:name w:val="Default Paragraph Font"/>
    <w:qFormat/>
    <w:rPr/>
  </w:style>
  <w:style w:type="character" w:styleId="ZDColor">
    <w:name w:val="ZDColor"/>
    <w:qFormat/>
    <w:rPr>
      <w:color w:val="000000"/>
    </w:rPr>
  </w:style>
  <w:style w:type="character" w:styleId="InitialStyle">
    <w:name w:val="InitialStyle"/>
    <w:qFormat/>
    <w:rPr>
      <w:rFonts w:ascii="Courier New" w:hAnsi="Courier New" w:cs="Courier New"/>
      <w:color w:val="000000"/>
      <w:sz w:val="24"/>
    </w:rPr>
  </w:style>
  <w:style w:type="character" w:styleId="ZBlack">
    <w:name w:val="ZBlack"/>
    <w:qFormat/>
    <w:rPr>
      <w:color w:val="000000"/>
    </w:rPr>
  </w:style>
  <w:style w:type="character" w:styleId="ZFColor">
    <w:name w:val="ZFColor"/>
    <w:qFormat/>
    <w:rPr>
      <w:color w:val="000000"/>
    </w:rPr>
  </w:style>
  <w:style w:type="character" w:styleId="ZZActivate">
    <w:name w:val="ZZActivate"/>
    <w:qFormat/>
    <w:rPr>
      <w:color w:val="000000"/>
    </w:rPr>
  </w:style>
  <w:style w:type="character" w:styleId="ZZInitFont">
    <w:name w:val="ZZInitFont"/>
    <w:qFormat/>
    <w:rPr>
      <w:rFonts w:ascii="Courier New" w:hAnsi="Courier New" w:cs="Courier New"/>
      <w:color w:val="000000"/>
      <w:sz w:val="24"/>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paragraph" w:styleId="Heading">
    <w:name w:val="Heading"/>
    <w:basedOn w:val="Normal"/>
    <w:next w:val="BodyText"/>
    <w:qFormat/>
    <w:pPr>
      <w:spacing w:before="0" w:after="240"/>
      <w:jc w:val="center"/>
      <w:outlineLvl w:val="0"/>
    </w:pPr>
    <w:rPr/>
  </w:style>
  <w:style w:type="paragraph" w:styleId="BodyText">
    <w:name w:val="Body Text"/>
    <w:basedOn w:val="Normal"/>
    <w:pPr>
      <w:spacing w:before="0" w:after="240"/>
      <w:ind w:hanging="0" w:start="0" w:end="0"/>
    </w:pPr>
    <w:rPr/>
  </w:style>
  <w:style w:type="paragraph" w:styleId="List">
    <w:name w:val="List"/>
    <w:basedOn w:val="Normal"/>
    <w:pPr>
      <w:ind w:hanging="283" w:start="283"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lockText">
    <w:name w:val="Block Text"/>
    <w:basedOn w:val="Normal"/>
    <w:qFormat/>
    <w:pPr>
      <w:spacing w:before="0" w:after="240"/>
      <w:ind w:hanging="0" w:start="1440" w:end="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ind w:firstLine="720" w:start="0" w:end="0"/>
    </w:pPr>
    <w:rPr/>
  </w:style>
  <w:style w:type="paragraph" w:styleId="BodyTextIndent">
    <w:name w:val="Body Text Indent"/>
    <w:basedOn w:val="Normal"/>
    <w:pPr>
      <w:spacing w:before="0" w:after="240"/>
      <w:ind w:hanging="0" w:start="720" w:end="0"/>
    </w:pPr>
    <w:rPr/>
  </w:style>
  <w:style w:type="paragraph" w:styleId="BodyTextFirstIndent2">
    <w:name w:val="Body Text First Indent 2"/>
    <w:basedOn w:val="BodyTextIndent"/>
    <w:qFormat/>
    <w:pPr>
      <w:spacing w:before="0" w:after="240"/>
      <w:ind w:firstLine="720" w:start="720" w:end="0"/>
    </w:pPr>
    <w:rPr/>
  </w:style>
  <w:style w:type="paragraph" w:styleId="BodyTextIndent2">
    <w:name w:val="Body Text Indent 2"/>
    <w:basedOn w:val="Normal"/>
    <w:qFormat/>
    <w:pPr>
      <w:spacing w:lineRule="auto" w:line="480" w:before="0" w:after="120"/>
      <w:ind w:hanging="0" w:start="283" w:end="0"/>
    </w:pPr>
    <w:rPr/>
  </w:style>
  <w:style w:type="paragraph" w:styleId="BodyTextIndent3">
    <w:name w:val="Body Text Indent 3"/>
    <w:basedOn w:val="Normal"/>
    <w:qFormat/>
    <w:pPr>
      <w:spacing w:before="0" w:after="120"/>
      <w:ind w:hanging="0" w:start="283" w:end="0"/>
    </w:pPr>
    <w:rPr>
      <w:sz w:val="16"/>
    </w:rPr>
  </w:style>
  <w:style w:type="paragraph" w:styleId="Closing">
    <w:name w:val="Closing"/>
    <w:basedOn w:val="Normal"/>
    <w:qFormat/>
    <w:pPr>
      <w:ind w:hanging="0" w:start="4252"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283" w:start="566" w:end="0"/>
    </w:pPr>
    <w:rPr/>
  </w:style>
  <w:style w:type="paragraph" w:styleId="ListBullet3">
    <w:name w:val="List Bullet 3"/>
    <w:basedOn w:val="Normal"/>
    <w:pPr>
      <w:ind w:hanging="283" w:start="849" w:end="0"/>
    </w:pPr>
    <w:rPr/>
  </w:style>
  <w:style w:type="paragraph" w:styleId="ListBullet4">
    <w:name w:val="List Bullet 4"/>
    <w:basedOn w:val="Normal"/>
    <w:pPr>
      <w:ind w:hanging="283" w:start="1132" w:end="0"/>
    </w:pPr>
    <w:rPr/>
  </w:style>
  <w:style w:type="paragraph" w:styleId="ListBullet5">
    <w:name w:val="List Bullet 5"/>
    <w:basedOn w:val="Normal"/>
    <w:pPr>
      <w:ind w:hanging="283" w:start="1415"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283" w:end="0"/>
    </w:pPr>
    <w:rPr/>
  </w:style>
  <w:style w:type="paragraph" w:styleId="ListContinue2">
    <w:name w:val="List Continue 2"/>
    <w:basedOn w:val="Normal"/>
    <w:qFormat/>
    <w:pPr>
      <w:spacing w:before="0" w:after="120"/>
      <w:ind w:hanging="0" w:start="566" w:end="0"/>
    </w:pPr>
    <w:rPr/>
  </w:style>
  <w:style w:type="paragraph" w:styleId="ListContinue3">
    <w:name w:val="List Continue 3"/>
    <w:basedOn w:val="Normal"/>
    <w:qFormat/>
    <w:pPr>
      <w:spacing w:before="0" w:after="120"/>
      <w:ind w:hanging="0" w:start="849" w:end="0"/>
    </w:pPr>
    <w:rPr/>
  </w:style>
  <w:style w:type="paragraph" w:styleId="ListContinue4">
    <w:name w:val="List Continue 4"/>
    <w:basedOn w:val="Normal"/>
    <w:qFormat/>
    <w:pPr>
      <w:spacing w:before="0" w:after="120"/>
      <w:ind w:hanging="0" w:start="1132" w:end="0"/>
    </w:pPr>
    <w:rPr/>
  </w:style>
  <w:style w:type="paragraph" w:styleId="ListContinue5">
    <w:name w:val="List Continue 5"/>
    <w:basedOn w:val="Normal"/>
    <w:qFormat/>
    <w:pPr>
      <w:spacing w:before="0" w:after="120"/>
      <w:ind w:hanging="0" w:start="1415"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134" w:start="1134"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ind w:hanging="0" w:start="4252" w:end="0"/>
    </w:pPr>
    <w:rPr/>
  </w:style>
  <w:style w:type="paragraph" w:styleId="Subtitle">
    <w:name w:val="Subtitle"/>
    <w:basedOn w:val="Normal"/>
    <w:next w:val="BodyText"/>
    <w:qFormat/>
    <w:pPr>
      <w:spacing w:before="0" w:after="240"/>
      <w:ind w:hanging="0" w:start="0" w:end="0"/>
      <w:jc w:val="center"/>
      <w:outlineLvl w:val="1"/>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Header1">
    <w:name w:val="Header 1"/>
    <w:basedOn w:val="Normal"/>
    <w:next w:val="Normal"/>
    <w:qFormat/>
    <w:pPr>
      <w:pBdr>
        <w:bottom w:val="single" w:sz="4" w:space="0" w:color="000000"/>
      </w:pBdr>
      <w:tabs>
        <w:tab w:val="clear" w:pos="720"/>
        <w:tab w:val="right" w:pos="9029" w:leader="none"/>
      </w:tabs>
      <w:ind w:hanging="0" w:start="0" w:end="0"/>
    </w:pPr>
    <w:rPr>
      <w:sz w:val="16"/>
      <w:lang w:val="en-GB"/>
    </w:rPr>
  </w:style>
  <w:style w:type="paragraph" w:styleId="Footer1">
    <w:name w:val="Footer 1"/>
    <w:basedOn w:val="Normal"/>
    <w:next w:val="Normal"/>
    <w:qFormat/>
    <w:pPr>
      <w:pBdr>
        <w:top w:val="single" w:sz="4" w:space="0" w:color="000000"/>
      </w:pBdr>
      <w:ind w:hanging="0" w:start="0" w:end="0"/>
    </w:pPr>
    <w:rPr>
      <w:sz w:val="16"/>
      <w:lang w:val="en-G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Document</Template>
  <TotalTime>170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2001-08-02T13:19:00Z</dcterms:created>
  <dc:creator>ejelich</dc:creator>
  <dc:description/>
  <dc:language>en-CA</dc:language>
  <cp:lastModifiedBy>VALUED SONY CUSTOMER</cp:lastModifiedBy>
  <cp:lastPrinted>2001-06-04T13:28:00Z</cp:lastPrinted>
  <dcterms:modified xsi:type="dcterms:W3CDTF">2001-08-07T10:47:00Z</dcterms:modified>
  <cp:revision>11</cp:revision>
  <dc:subject/>
  <dc:title>ISDA 1992 MASTER AGREEMENTS</dc:title>
</cp:coreProperties>
</file>