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ANNEX 1</w:t>
      </w:r>
    </w:p>
    <w:p>
      <w:pPr>
        <w:pStyle w:val="Normal"/>
        <w:jc w:val="both"/>
        <w:rPr>
          <w:sz w:val="24"/>
        </w:rPr>
      </w:pPr>
      <w:r>
        <w:rPr>
          <w:sz w:val="24"/>
        </w:rPr>
      </w:r>
    </w:p>
    <w:p>
      <w:pPr>
        <w:pStyle w:val="Subtitle"/>
        <w:rPr/>
      </w:pPr>
      <w:r>
        <w:rPr/>
        <w:t>To</w:t>
      </w:r>
    </w:p>
    <w:p>
      <w:pPr>
        <w:pStyle w:val="Normal"/>
        <w:jc w:val="both"/>
        <w:rPr>
          <w:sz w:val="24"/>
        </w:rPr>
      </w:pPr>
      <w:r>
        <w:rPr>
          <w:sz w:val="24"/>
        </w:rPr>
      </w:r>
    </w:p>
    <w:p>
      <w:pPr>
        <w:pStyle w:val="BodyText2"/>
        <w:rPr/>
      </w:pPr>
      <w:r>
        <w:rPr/>
        <w:t xml:space="preserve">Memorandum of Understanding dated ___________, 2001 by and between Enron de Mexico, S. de R.L. de C. V. and Corporativo Copamex, S.A. de C.V.  </w:t>
      </w:r>
    </w:p>
    <w:p>
      <w:pPr>
        <w:pStyle w:val="Normal"/>
        <w:jc w:val="both"/>
        <w:rPr>
          <w:sz w:val="24"/>
        </w:rPr>
      </w:pPr>
      <w:r>
        <w:rPr>
          <w:sz w:val="24"/>
        </w:rPr>
      </w:r>
    </w:p>
    <w:p>
      <w:pPr>
        <w:pStyle w:val="Normal"/>
        <w:jc w:val="both"/>
        <w:rPr>
          <w:sz w:val="24"/>
        </w:rPr>
      </w:pPr>
      <w:r>
        <w:rPr>
          <w:sz w:val="24"/>
        </w:rPr>
        <w:t>Capitalized terms used but not defined in this Annex 1 shall have the meanings given to such terms in the MOU.</w:t>
      </w:r>
    </w:p>
    <w:p>
      <w:pPr>
        <w:pStyle w:val="Normal"/>
        <w:jc w:val="both"/>
        <w:rPr>
          <w:sz w:val="24"/>
        </w:rPr>
      </w:pPr>
      <w:r>
        <w:rPr>
          <w:sz w:val="24"/>
        </w:rPr>
      </w:r>
    </w:p>
    <w:p>
      <w:pPr>
        <w:pStyle w:val="Normal"/>
        <w:numPr>
          <w:ilvl w:val="0"/>
          <w:numId w:val="3"/>
        </w:numPr>
        <w:jc w:val="both"/>
        <w:rPr>
          <w:sz w:val="24"/>
        </w:rPr>
      </w:pPr>
      <w:r>
        <w:rPr>
          <w:sz w:val="24"/>
          <w:u w:val="single"/>
        </w:rPr>
        <w:t>Planned Power Plant Capacity</w:t>
      </w:r>
      <w:r>
        <w:rPr>
          <w:sz w:val="24"/>
        </w:rPr>
        <w:t>:  Approximately 51 MW of electric power and 91 metric tonnes of steam per hour</w:t>
      </w:r>
    </w:p>
    <w:p>
      <w:pPr>
        <w:pStyle w:val="Normal"/>
        <w:numPr>
          <w:ilvl w:val="0"/>
          <w:numId w:val="3"/>
        </w:numPr>
        <w:jc w:val="both"/>
        <w:rPr>
          <w:sz w:val="24"/>
        </w:rPr>
      </w:pPr>
      <w:r>
        <w:rPr>
          <w:sz w:val="24"/>
          <w:u w:val="single"/>
        </w:rPr>
        <w:t>Expected Copamex Power Plant Offtake</w:t>
      </w:r>
      <w:r>
        <w:rPr>
          <w:sz w:val="24"/>
        </w:rPr>
        <w:t>:  51 MW of electric power and up to 91 metric tonnes of steam per hour</w:t>
      </w:r>
    </w:p>
    <w:p>
      <w:pPr>
        <w:pStyle w:val="Normal"/>
        <w:numPr>
          <w:ilvl w:val="0"/>
          <w:numId w:val="3"/>
        </w:numPr>
        <w:jc w:val="both"/>
        <w:rPr>
          <w:sz w:val="24"/>
        </w:rPr>
      </w:pPr>
      <w:r>
        <w:rPr>
          <w:sz w:val="24"/>
          <w:u w:val="single"/>
        </w:rPr>
        <w:t>Targeted Commercial Operation Date</w:t>
      </w:r>
      <w:r>
        <w:rPr>
          <w:sz w:val="24"/>
        </w:rPr>
        <w:t>: July 2002</w:t>
      </w:r>
    </w:p>
    <w:p>
      <w:pPr>
        <w:pStyle w:val="Normal"/>
        <w:numPr>
          <w:ilvl w:val="0"/>
          <w:numId w:val="3"/>
        </w:numPr>
        <w:jc w:val="both"/>
        <w:rPr>
          <w:sz w:val="24"/>
        </w:rPr>
      </w:pPr>
      <w:r>
        <w:rPr>
          <w:sz w:val="24"/>
          <w:u w:val="single"/>
        </w:rPr>
        <w:t>Planned Fuel Type</w:t>
      </w:r>
      <w:r>
        <w:rPr>
          <w:sz w:val="24"/>
        </w:rPr>
        <w:t>:  Natural Gas</w:t>
      </w:r>
    </w:p>
    <w:p>
      <w:pPr>
        <w:pStyle w:val="Normal"/>
        <w:numPr>
          <w:ilvl w:val="0"/>
          <w:numId w:val="3"/>
        </w:numPr>
        <w:jc w:val="both"/>
        <w:rPr>
          <w:sz w:val="24"/>
        </w:rPr>
      </w:pPr>
      <w:r>
        <w:rPr>
          <w:sz w:val="24"/>
          <w:u w:val="single"/>
        </w:rPr>
        <w:t>Expected Copamex Electric Power Load Factor</w:t>
      </w:r>
      <w:r>
        <w:rPr>
          <w:sz w:val="24"/>
        </w:rPr>
        <w:t>: 86%</w:t>
      </w:r>
    </w:p>
    <w:p>
      <w:pPr>
        <w:pStyle w:val="Normal"/>
        <w:numPr>
          <w:ilvl w:val="0"/>
          <w:numId w:val="3"/>
        </w:numPr>
        <w:jc w:val="both"/>
        <w:rPr>
          <w:sz w:val="24"/>
        </w:rPr>
      </w:pPr>
      <w:r>
        <w:rPr>
          <w:sz w:val="24"/>
          <w:u w:val="single"/>
        </w:rPr>
        <w:t>Expected Plant Availability</w:t>
      </w:r>
      <w:r>
        <w:rPr>
          <w:sz w:val="24"/>
        </w:rPr>
        <w:t>: 93%</w:t>
      </w:r>
    </w:p>
    <w:p>
      <w:pPr>
        <w:pStyle w:val="Normal"/>
        <w:numPr>
          <w:ilvl w:val="0"/>
          <w:numId w:val="3"/>
        </w:numPr>
        <w:jc w:val="both"/>
        <w:rPr>
          <w:sz w:val="24"/>
        </w:rPr>
      </w:pPr>
      <w:r>
        <w:rPr>
          <w:sz w:val="24"/>
          <w:u w:val="single"/>
        </w:rPr>
        <w:t>Planned Debt Financing</w:t>
      </w:r>
      <w:r>
        <w:rPr>
          <w:sz w:val="24"/>
        </w:rPr>
        <w:t>:  It is expected that the debt financing for the Project will be internationally-sourced project financing that is nonrecourse to the Parties.</w:t>
      </w:r>
    </w:p>
    <w:p>
      <w:pPr>
        <w:pStyle w:val="Normal"/>
        <w:numPr>
          <w:ilvl w:val="0"/>
          <w:numId w:val="3"/>
        </w:numPr>
        <w:jc w:val="both"/>
        <w:rPr>
          <w:sz w:val="24"/>
        </w:rPr>
      </w:pPr>
      <w:r>
        <w:rPr>
          <w:sz w:val="24"/>
          <w:u w:val="single"/>
        </w:rPr>
        <w:t>Expected PPA Provisions</w:t>
      </w:r>
      <w:r>
        <w:rPr>
          <w:sz w:val="24"/>
        </w:rPr>
        <w:t>:  It is expected that the Power Purchase Agreement will have a 15 year term and will contain provisions that are customary for a project of this type and that, in the opinion of Enron, will support an internationally-sourced project financing.</w:t>
      </w:r>
    </w:p>
    <w:p>
      <w:pPr>
        <w:pStyle w:val="Normal"/>
        <w:numPr>
          <w:ilvl w:val="0"/>
          <w:numId w:val="3"/>
        </w:numPr>
        <w:jc w:val="both"/>
        <w:rPr>
          <w:sz w:val="24"/>
        </w:rPr>
      </w:pPr>
      <w:r>
        <w:rPr>
          <w:sz w:val="24"/>
          <w:u w:val="single"/>
        </w:rPr>
        <w:t>Enron’s Activities</w:t>
      </w:r>
      <w:r>
        <w:rPr>
          <w:sz w:val="24"/>
        </w:rPr>
        <w:t>:  It is expected that Enron’s activities will include (a) collecting the site-specific information (such as site survey, title, environmental and geotechnical data) that will be required for the technical and financial feasibility of the Project, (b) acting as liaison with the relevant Federal, State and local authorities and agencies for the purpose of obtaining all necessary governmental permits, approvals and exemptions (such as environmental, zoning, land use, importation and tax) necessary for the Project, (c) negotiating a Power Purchase Agreement, Steam Sales Agreement and related agreements with Copamex, (d) negotiating fuel supply and transportation agreements for the Project, (e) arranging for the necessary financing for the Project, (f) providing technical (including engineering, procurement and construction) and operational expertise for the Project, (g) participating in negotiations with the lenders to the Project, and (h) to the extent requested by Copamex, cooperating with and assisting Copamex relative to Copamex’s activities that are described below.</w:t>
      </w:r>
    </w:p>
    <w:p>
      <w:pPr>
        <w:pStyle w:val="Normal"/>
        <w:numPr>
          <w:ilvl w:val="0"/>
          <w:numId w:val="2"/>
        </w:numPr>
        <w:jc w:val="both"/>
        <w:rPr>
          <w:u w:val="single"/>
        </w:rPr>
      </w:pPr>
      <w:r>
        <w:rPr>
          <w:sz w:val="24"/>
          <w:u w:val="single"/>
        </w:rPr>
        <w:t>Copamex’s Activities</w:t>
      </w:r>
      <w:r>
        <w:rPr>
          <w:sz w:val="24"/>
        </w:rPr>
        <w:t>:  It is expected that Copamex’s activities will include (a) providing the land that will serve as the site for the Project and (b) to the extent requested by Enron, cooperate with and assist Enron relative to Enron’s activities that are described above.</w:t>
      </w:r>
    </w:p>
    <w:sectPr>
      <w:footerReference w:type="default" r:id="rId2"/>
      <w:footerReference w:type="first" r:id="rId3"/>
      <w:type w:val="nextPage"/>
      <w:pgSz w:w="12240" w:h="15840"/>
      <w:pgMar w:left="1440" w:right="1440" w:gutter="0" w:header="0" w:top="72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TERM SHEET</w:t>
      <w:tab/>
    </w:r>
    <w:r>
      <w:rPr>
        <w:rStyle w:val="PageNumber"/>
        <w:b/>
        <w:sz w:val="16"/>
      </w:rPr>
      <w:fldChar w:fldCharType="begin"/>
    </w:r>
    <w:r>
      <w:rPr>
        <w:rStyle w:val="PageNumber"/>
        <w:sz w:val="16"/>
        <w:b/>
      </w:rPr>
      <w:instrText xml:space="preserve"> PAGE </w:instrText>
    </w:r>
    <w:r>
      <w:rPr>
        <w:rStyle w:val="PageNumber"/>
        <w:sz w:val="16"/>
        <w:b/>
      </w:rPr>
      <w:fldChar w:fldCharType="separate"/>
    </w:r>
    <w:r>
      <w:rPr>
        <w:rStyle w:val="PageNumber"/>
        <w:sz w:val="16"/>
        <w:b/>
      </w:rPr>
      <w:t>0</w:t>
    </w:r>
    <w:r>
      <w:rPr>
        <w:rStyle w:val="PageNumber"/>
        <w:sz w:val="16"/>
        <w:b/>
      </w:rPr>
      <w:fldChar w:fldCharType="end"/>
    </w:r>
    <w:r>
      <w:rPr>
        <w:rStyle w:val="PageNumber"/>
        <w:b/>
        <w:sz w:val="16"/>
      </w:rPr>
      <w:tab/>
      <w:t>CONFIDENTIAL</w:t>
    </w:r>
  </w:p>
  <w:p>
    <w:pPr>
      <w:pStyle w:val="Footer"/>
      <w:rPr>
        <w:b/>
        <w:sz w:val="16"/>
      </w:rPr>
    </w:pPr>
    <w:r>
      <w:rPr>
        <w:b/>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sz w:val="16"/>
      </w:rPr>
      <w:t>TERM SHEET</w:t>
      <w:tab/>
    </w:r>
    <w:r>
      <w:rPr>
        <w:rStyle w:val="PageNumber"/>
        <w:b/>
        <w:sz w:val="16"/>
      </w:rPr>
      <w:fldChar w:fldCharType="begin"/>
    </w:r>
    <w:r>
      <w:rPr>
        <w:rStyle w:val="PageNumber"/>
        <w:sz w:val="16"/>
        <w:b/>
      </w:rPr>
      <w:instrText xml:space="preserve"> PAGE </w:instrText>
    </w:r>
    <w:r>
      <w:rPr>
        <w:rStyle w:val="PageNumber"/>
        <w:sz w:val="16"/>
        <w:b/>
      </w:rPr>
      <w:fldChar w:fldCharType="separate"/>
    </w:r>
    <w:r>
      <w:rPr>
        <w:rStyle w:val="PageNumber"/>
        <w:sz w:val="16"/>
        <w:b/>
      </w:rPr>
      <w:t>1</w:t>
    </w:r>
    <w:r>
      <w:rPr>
        <w:rStyle w:val="PageNumber"/>
        <w:sz w:val="16"/>
        <w:b/>
      </w:rPr>
      <w:fldChar w:fldCharType="end"/>
    </w:r>
    <w:r>
      <w:rPr>
        <w:rStyle w:val="PageNumber"/>
        <w:b/>
        <w:sz w:val="16"/>
      </w:rPr>
      <w:tab/>
      <w:t>CONFIDENTIAL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St5z0">
    <w:name w:val="WW8NumSt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sz w:val="24"/>
    </w:rPr>
  </w:style>
  <w:style w:type="paragraph" w:styleId="BodyText2">
    <w:name w:val="Body Text 2"/>
    <w:basedOn w:val="Normal"/>
    <w:qFormat/>
    <w:pPr>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2001-05-21T15:18:00Z</dcterms:created>
  <dc:creator>pcerezo</dc:creator>
  <dc:description/>
  <dc:language>en-CA</dc:language>
  <cp:lastModifiedBy>mduffy</cp:lastModifiedBy>
  <cp:lastPrinted>2000-02-28T08:59:00Z</cp:lastPrinted>
  <dcterms:modified xsi:type="dcterms:W3CDTF">2001-05-21T15:21:00Z</dcterms:modified>
  <cp:revision>3</cp:revision>
  <dc:subject/>
  <dc:title>TERM SHEET</dc:title>
</cp:coreProperties>
</file>