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TO:  THE GROUP</w:t>
      </w:r>
    </w:p>
    <w:p>
      <w:pPr>
        <w:pStyle w:val="Normal"/>
        <w:jc w:val="both"/>
        <w:rPr/>
      </w:pPr>
      <w:r>
        <w:rPr/>
        <w:t>FROM:  MARY COOK</w:t>
      </w:r>
    </w:p>
    <w:p>
      <w:pPr>
        <w:pStyle w:val="Normal"/>
        <w:jc w:val="both"/>
        <w:rPr/>
      </w:pPr>
      <w:r>
        <w:rPr/>
        <w:t>7/31/2000</w:t>
      </w:r>
    </w:p>
    <w:p>
      <w:pPr>
        <w:pStyle w:val="Normal"/>
        <w:jc w:val="both"/>
        <w:rPr/>
      </w:pPr>
      <w:r>
        <w:rPr/>
      </w:r>
    </w:p>
    <w:p>
      <w:pPr>
        <w:pStyle w:val="Normal"/>
        <w:jc w:val="both"/>
        <w:rPr/>
      </w:pPr>
      <w:r>
        <w:rPr/>
        <w:t>RE:  FORMS:  SOME ITEMS TO CONSIDER</w:t>
      </w:r>
    </w:p>
    <w:p>
      <w:pPr>
        <w:pStyle w:val="Normal"/>
        <w:jc w:val="both"/>
        <w:rPr/>
      </w:pPr>
      <w:r>
        <w:rPr/>
      </w:r>
    </w:p>
    <w:p>
      <w:pPr>
        <w:pStyle w:val="Normal"/>
        <w:jc w:val="both"/>
        <w:rPr/>
      </w:pPr>
      <w:r>
        <w:rPr/>
        <w:t>As a result of some work on a particular transaction the following issues are raised in respect of our Omnibus documentation in respect of Annex B and B-1, and the provisions in respect of Existing Transactions in the Schedule to the Master Agreement.</w:t>
      </w:r>
    </w:p>
    <w:p>
      <w:pPr>
        <w:pStyle w:val="Normal"/>
        <w:jc w:val="both"/>
        <w:rPr/>
      </w:pPr>
      <w:r>
        <w:rPr/>
      </w:r>
    </w:p>
    <w:p>
      <w:pPr>
        <w:pStyle w:val="Normal"/>
        <w:jc w:val="both"/>
        <w:rPr/>
      </w:pPr>
      <w:r>
        <w:rPr/>
        <w:t xml:space="preserve">1.  The header to our Annex B provides as follows: </w:t>
      </w:r>
    </w:p>
    <w:p>
      <w:pPr>
        <w:pStyle w:val="Normal"/>
        <w:jc w:val="both"/>
        <w:rPr/>
      </w:pPr>
      <w:r>
        <w:rPr/>
      </w:r>
    </w:p>
    <w:p>
      <w:pPr>
        <w:pStyle w:val="BodyText"/>
        <w:rPr/>
      </w:pPr>
      <w:r>
        <w:rPr/>
        <w:t>“</w:t>
      </w:r>
      <w:r>
        <w:rPr/>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pPr>
      <w:r>
        <w:rPr/>
      </w:r>
    </w:p>
    <w:p>
      <w:pPr>
        <w:pStyle w:val="Normal"/>
        <w:jc w:val="both"/>
        <w:rPr/>
      </w:pPr>
      <w:r>
        <w:rPr/>
        <w:t>In conjunction with this language, note that our Master Agreement Schedule provides in respect of Existing Transactions as follows:</w:t>
      </w:r>
    </w:p>
    <w:p>
      <w:pPr>
        <w:pStyle w:val="Normal"/>
        <w:jc w:val="both"/>
        <w:rPr/>
      </w:pPr>
      <w:r>
        <w:rPr/>
      </w:r>
    </w:p>
    <w:p>
      <w:pPr>
        <w:pStyle w:val="BodyText"/>
        <w:rPr>
          <w:u w:val="single"/>
        </w:rPr>
      </w:pPr>
      <w:r>
        <w:rPr>
          <w:szCs w:val="22"/>
        </w:rPr>
        <w:t>“</w:t>
      </w:r>
      <w:r>
        <w:rPr>
          <w:b/>
          <w:bCs/>
          <w:szCs w:val="22"/>
        </w:rPr>
        <w:t>Existing Transactions</w:t>
      </w:r>
      <w:r>
        <w:rPr>
          <w:szCs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lineRule="exact" w:line="240" w:before="240" w:after="0"/>
        <w:jc w:val="both"/>
        <w:rPr>
          <w:szCs w:val="22"/>
        </w:rPr>
      </w:pPr>
      <w:r>
        <w:rPr>
          <w:szCs w:val="22"/>
        </w:rPr>
        <w:t>Questions arise in respect of the collateral requirements in prior transactions.  Under our current provisions, it appears that the Master Agreement cuts off prior collateral requirements and such requirements are replaced in their entirety by the provisions of the Master Agreement.  Additionally, note that there are no transfer of collateral provisions in the Master Agreement, Schedule or Annex B relative to the Prior Transactions even if the requirements for collateral would require some postings.</w:t>
      </w:r>
    </w:p>
    <w:p>
      <w:pPr>
        <w:pStyle w:val="Normal"/>
        <w:spacing w:lineRule="exact" w:line="240" w:before="240" w:after="0"/>
        <w:jc w:val="both"/>
        <w:rPr>
          <w:b/>
          <w:bCs/>
          <w:szCs w:val="22"/>
        </w:rPr>
      </w:pPr>
      <w:r>
        <w:rPr>
          <w:b/>
          <w:bCs/>
          <w:szCs w:val="22"/>
        </w:rPr>
        <w:t>Consider the following form changes:</w:t>
      </w:r>
    </w:p>
    <w:p>
      <w:pPr>
        <w:pStyle w:val="BodyText"/>
        <w:spacing w:lineRule="exact" w:line="240" w:before="240" w:after="0"/>
        <w:rPr>
          <w:color w:val="FF0000"/>
          <w:szCs w:val="22"/>
        </w:rPr>
      </w:pPr>
      <w:r>
        <w:rPr>
          <w:szCs w:val="22"/>
        </w:rPr>
        <w:t>Header to Annex B would now read:</w:t>
      </w:r>
    </w:p>
    <w:p>
      <w:pPr>
        <w:pStyle w:val="Normal"/>
        <w:jc w:val="both"/>
        <w:rPr>
          <w:color w:val="FF0000"/>
          <w:szCs w:val="22"/>
        </w:rPr>
      </w:pPr>
      <w:r>
        <w:rPr>
          <w:color w:val="FF0000"/>
          <w:szCs w:val="22"/>
        </w:rPr>
      </w:r>
    </w:p>
    <w:p>
      <w:pPr>
        <w:pStyle w:val="BodyText"/>
        <w:rPr/>
      </w:pPr>
      <w:r>
        <w:rPr/>
        <w:t xml:space="preserve">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w:t>
      </w:r>
      <w:r>
        <w:rPr>
          <w:u w:val="single"/>
        </w:rPr>
        <w:t>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jc w:val="both"/>
        <w:rPr>
          <w:u w:val="single"/>
        </w:rPr>
      </w:pPr>
      <w:r>
        <w:rPr>
          <w:u w:val="single"/>
        </w:rPr>
      </w:r>
    </w:p>
    <w:p>
      <w:pPr>
        <w:pStyle w:val="Normal"/>
        <w:jc w:val="both"/>
        <w:rPr/>
      </w:pPr>
      <w:r>
        <w:rPr/>
        <w:t>Existing Transactions would now read:</w:t>
      </w:r>
    </w:p>
    <w:p>
      <w:pPr>
        <w:pStyle w:val="BodyText"/>
        <w:rPr>
          <w:szCs w:val="22"/>
        </w:rPr>
      </w:pPr>
      <w:r>
        <w:rPr>
          <w:szCs w:val="22"/>
        </w:rPr>
      </w:r>
    </w:p>
    <w:p>
      <w:pPr>
        <w:pStyle w:val="BodyText"/>
        <w:rPr/>
      </w:pPr>
      <w:r>
        <w:rPr>
          <w:b/>
          <w:bCs/>
        </w:rPr>
        <w:t>Existing Transactions</w:t>
      </w:r>
      <w:r>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r>
        <w:rPr>
          <w:szCs w:val="22"/>
          <w:u w:val="single"/>
        </w:rPr>
        <w:t xml:space="preserve">; provided, </w:t>
      </w:r>
      <w:r>
        <w:rPr>
          <w:u w:val="single"/>
        </w:rPr>
        <w:t>(i)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w:t>
      </w:r>
    </w:p>
    <w:p>
      <w:pPr>
        <w:pStyle w:val="Normal"/>
        <w:jc w:val="both"/>
        <w:rPr>
          <w:u w:val="single"/>
        </w:rPr>
      </w:pPr>
      <w:r>
        <w:rPr>
          <w:u w:val="single"/>
        </w:rPr>
      </w:r>
    </w:p>
    <w:p>
      <w:pPr>
        <w:pStyle w:val="Normal"/>
        <w:jc w:val="both"/>
        <w:rPr/>
      </w:pPr>
      <w:r>
        <w:rPr/>
        <w:t>If we change Annex B, it may not be necessary to alter Existing Transactions in the Schedule.  We need to assess.</w:t>
      </w:r>
    </w:p>
    <w:p>
      <w:pPr>
        <w:pStyle w:val="Normal"/>
        <w:jc w:val="both"/>
        <w:rPr/>
      </w:pPr>
      <w:r>
        <w:rPr/>
      </w:r>
    </w:p>
    <w:p>
      <w:pPr>
        <w:pStyle w:val="Normal"/>
        <w:jc w:val="both"/>
        <w:rPr/>
      </w:pPr>
      <w:r>
        <w:rPr/>
        <w:t>2.  The definition of Collateral Requirement in Annex B-1 follows (this particular form in Counterparty one way, cash and lc, but the definitions track the same idea):</w:t>
      </w:r>
    </w:p>
    <w:p>
      <w:pPr>
        <w:pStyle w:val="Normal"/>
        <w:jc w:val="both"/>
        <w:rPr/>
      </w:pPr>
      <w:r>
        <w:rPr/>
      </w:r>
    </w:p>
    <w:p>
      <w:pPr>
        <w:pStyle w:val="Normal"/>
        <w:tabs>
          <w:tab w:val="left" w:pos="720" w:leader="none"/>
        </w:tabs>
        <w:jc w:val="both"/>
        <w:rPr/>
      </w:pPr>
      <w:r>
        <w:rPr/>
        <w:t>“</w:t>
      </w:r>
      <w:r>
        <w:rPr/>
        <w:t xml:space="preserve">The </w:t>
      </w:r>
      <w:r>
        <w:rPr>
          <w:i/>
        </w:rPr>
        <w:t>"</w:t>
      </w:r>
      <w:r>
        <w:rPr>
          <w:i/>
          <w:u w:val="single"/>
        </w:rPr>
        <w:t>Collateral Requirement</w:t>
      </w:r>
      <w:r>
        <w:rPr>
          <w:i/>
        </w:rPr>
        <w:t>"</w:t>
      </w:r>
      <w:r>
        <w:rPr/>
        <w:t xml:space="preserve"> shall mean, with respect to Counterparty, the excess, if any, of (i) (x) ENA's Net Exposure plus (y) the aggregate of all Additional Amounts applicable to the Counterparty minus (ii) Counterparty's Exposure Threshold plus the sum of (y) the Valuation Percentage times the remaining, undrawn portion of any outstanding Letter of Credit maintained by Counterparty and issued for the benefit of ENA in connection with the Swaps and (z) any Cash held by ENA pursuant to Section 2(f)(ii) of this Annex.”</w:t>
      </w:r>
    </w:p>
    <w:p>
      <w:pPr>
        <w:pStyle w:val="Normal"/>
        <w:tabs>
          <w:tab w:val="left" w:pos="720" w:leader="none"/>
        </w:tabs>
        <w:jc w:val="both"/>
        <w:rPr/>
      </w:pPr>
      <w:r>
        <w:rPr/>
      </w:r>
    </w:p>
    <w:p>
      <w:pPr>
        <w:pStyle w:val="Normal"/>
        <w:tabs>
          <w:tab w:val="left" w:pos="720" w:leader="none"/>
        </w:tabs>
        <w:jc w:val="both"/>
        <w:rPr/>
      </w:pPr>
      <w:r>
        <w:rPr/>
        <w:t>Given the way this works, if Additional Amounts are applicable under an omnibus confirmation, then should the Exposure Threshold always be 0?  If the Exposure Threshold is not 0, then it appears that (ii) (y) and (z) would defeat the purpose of the Additional Amounts by recrediting them for determination of the Collateral Requirement.</w:t>
      </w:r>
    </w:p>
    <w:p>
      <w:pPr>
        <w:pStyle w:val="Normal"/>
        <w:tabs>
          <w:tab w:val="left" w:pos="720" w:leader="none"/>
        </w:tabs>
        <w:jc w:val="both"/>
        <w:rPr/>
      </w:pPr>
      <w:r>
        <w:rPr/>
      </w:r>
    </w:p>
    <w:p>
      <w:pPr>
        <w:pStyle w:val="Normal"/>
        <w:tabs>
          <w:tab w:val="left" w:pos="720" w:leader="none"/>
        </w:tabs>
        <w:jc w:val="both"/>
        <w:rPr/>
      </w:pPr>
      <w:r>
        <w:rPr/>
        <w:t>Please consider whether this is correct or not.</w:t>
      </w:r>
    </w:p>
    <w:p>
      <w:pPr>
        <w:pStyle w:val="Normal"/>
        <w:tabs>
          <w:tab w:val="left" w:pos="720" w:leader="none"/>
        </w:tabs>
        <w:jc w:val="both"/>
        <w:rPr/>
      </w:pPr>
      <w:r>
        <w:rPr/>
      </w:r>
    </w:p>
    <w:p>
      <w:pPr>
        <w:pStyle w:val="Normal"/>
        <w:tabs>
          <w:tab w:val="left" w:pos="720" w:leader="none"/>
        </w:tabs>
        <w:jc w:val="both"/>
        <w:rPr/>
      </w:pPr>
      <w:r>
        <w:rPr/>
        <w:t>Thank you.</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2000-07-31T18:28:00Z</dcterms:created>
  <dc:creator>mcook</dc:creator>
  <dc:description/>
  <dc:language>en-CA</dc:language>
  <cp:lastModifiedBy>mcook</cp:lastModifiedBy>
  <dcterms:modified xsi:type="dcterms:W3CDTF">2000-07-31T20:10:00Z</dcterms:modified>
  <cp:revision>5</cp:revision>
  <dc:subject/>
  <dc:title/>
</cp:coreProperties>
</file>