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r>
      <w:r>
        <w:rPr>
          <w:sz w:val="24"/>
        </w:rPr>
        <w:t>RE:</w:t>
        <w:tab/>
        <w:t>Revised Form of Annex A – 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Counterparty:</w:t>
      </w:r>
    </w:p>
    <w:p>
      <w:pPr>
        <w:pStyle w:val="Normal"/>
        <w:jc w:val="both"/>
        <w:rPr>
          <w:sz w:val="24"/>
        </w:rPr>
      </w:pPr>
      <w:r>
        <w:rPr>
          <w:sz w:val="24"/>
        </w:rPr>
      </w:r>
    </w:p>
    <w:p>
      <w:pPr>
        <w:pStyle w:val="Normal"/>
        <w:jc w:val="both"/>
        <w:rPr>
          <w:sz w:val="24"/>
        </w:rPr>
      </w:pPr>
      <w:r>
        <w:rPr>
          <w:sz w:val="24"/>
        </w:rPr>
        <w:tab/>
        <w:t>During the past few months, our legal group has conducted an extensive review of all of our financial derivative forms, including the general terms and conditions set forth in Annex A which is attached to the Confirmation for each trade that you have done with Enron North America Corp. (“Enron”)(formerly known as Enron Capital &amp; Trade Resources Corp.).  Our legal group has concluded its review of such forms, and enclosed is a clean and marked version of the new form of Annex A which we plan to attach to all confirmations executed with respect to trades done between you and Enron after the date hereof until there is a master agreement in place between you and Enron.  The following is an explanation of the changes that we have made to Annex A and, in some cases, the reasons for such change.  As you can see, the effect of these changes is equally borne by you and Enron.</w:t>
      </w:r>
    </w:p>
    <w:p>
      <w:pPr>
        <w:pStyle w:val="Normal"/>
        <w:jc w:val="both"/>
        <w:rPr>
          <w:sz w:val="24"/>
        </w:rPr>
      </w:pPr>
      <w:r>
        <w:rPr>
          <w:sz w:val="24"/>
        </w:rPr>
      </w:r>
    </w:p>
    <w:p>
      <w:pPr>
        <w:pStyle w:val="Normal"/>
        <w:jc w:val="both"/>
        <w:rPr/>
      </w:pPr>
      <w:r>
        <w:rPr>
          <w:sz w:val="24"/>
        </w:rPr>
        <w:t>1.</w:t>
      </w:r>
      <w:r>
        <w:rPr>
          <w:b/>
          <w:sz w:val="24"/>
        </w:rPr>
        <w:tab/>
        <w:t>Name Change</w:t>
      </w:r>
      <w:r>
        <w:rPr>
          <w:sz w:val="24"/>
        </w:rPr>
        <w:t xml:space="preserve"> - Effective September 1, 1999, Enron Capital &amp; Trade Resources Corp. changed its name to Enron North America Corp.</w:t>
      </w:r>
    </w:p>
    <w:p>
      <w:pPr>
        <w:pStyle w:val="Normal"/>
        <w:jc w:val="both"/>
        <w:rPr>
          <w:sz w:val="24"/>
        </w:rPr>
      </w:pPr>
      <w:r>
        <w:rPr>
          <w:sz w:val="24"/>
        </w:rPr>
      </w:r>
    </w:p>
    <w:p>
      <w:pPr>
        <w:pStyle w:val="Normal"/>
        <w:jc w:val="both"/>
        <w:rPr/>
      </w:pPr>
      <w:r>
        <w:rPr>
          <w:sz w:val="24"/>
        </w:rPr>
        <w:t>2.</w:t>
        <w:tab/>
      </w:r>
      <w:r>
        <w:rPr>
          <w:b/>
          <w:sz w:val="24"/>
        </w:rPr>
        <w:t>Absence of Litigation Representation</w:t>
      </w:r>
      <w:r>
        <w:rPr>
          <w:sz w:val="24"/>
        </w:rPr>
        <w:t xml:space="preserve"> –  a new representation and warranty relating to the absence of litigation has been added to Section 1.</w:t>
      </w:r>
    </w:p>
    <w:p>
      <w:pPr>
        <w:pStyle w:val="Normal"/>
        <w:jc w:val="both"/>
        <w:rPr>
          <w:sz w:val="24"/>
        </w:rPr>
      </w:pPr>
      <w:r>
        <w:rPr>
          <w:sz w:val="24"/>
        </w:rPr>
      </w:r>
    </w:p>
    <w:p>
      <w:pPr>
        <w:pStyle w:val="Normal"/>
        <w:jc w:val="both"/>
        <w:rPr/>
      </w:pPr>
      <w:r>
        <w:rPr>
          <w:sz w:val="24"/>
        </w:rPr>
        <w:t>3.</w:t>
      </w:r>
      <w:r>
        <w:rPr>
          <w:b/>
          <w:sz w:val="24"/>
        </w:rPr>
        <w:tab/>
        <w:t>Rounding and Interest Rate Provisions</w:t>
      </w:r>
      <w:r>
        <w:rPr>
          <w:sz w:val="24"/>
        </w:rPr>
        <w:t xml:space="preserve"> - Language has been added to the end of Section 2 to specify how commodity quantities are rounded.  In addition, interest on past due amounts will now be calculated on the basis of a 365/366 day year. </w:t>
      </w:r>
    </w:p>
    <w:p>
      <w:pPr>
        <w:pStyle w:val="Normal"/>
        <w:jc w:val="both"/>
        <w:rPr>
          <w:sz w:val="24"/>
        </w:rPr>
      </w:pPr>
      <w:r>
        <w:rPr>
          <w:sz w:val="24"/>
        </w:rPr>
      </w:r>
    </w:p>
    <w:p>
      <w:pPr>
        <w:pStyle w:val="Normal"/>
        <w:jc w:val="both"/>
        <w:rPr/>
      </w:pPr>
      <w:r>
        <w:rPr>
          <w:sz w:val="24"/>
        </w:rPr>
        <w:t>4.</w:t>
        <w:tab/>
      </w:r>
      <w:r>
        <w:rPr>
          <w:b/>
          <w:sz w:val="24"/>
        </w:rPr>
        <w:t>Events of Default</w:t>
      </w:r>
      <w:r>
        <w:rPr>
          <w:sz w:val="24"/>
        </w:rPr>
        <w:t xml:space="preserve"> - Language has been added to Section 3(e) to trigger the occurrence of an Event of Default if a party merges, consolidates or sells its assets and the resulting/transferee entity’s creditworthiness is materially weaker than that of the original/transferor entity  In addition, the cure period for payment defaults has been changed to three (3) Business Days.</w:t>
      </w:r>
    </w:p>
    <w:p>
      <w:pPr>
        <w:pStyle w:val="Normal"/>
        <w:jc w:val="both"/>
        <w:rPr>
          <w:b/>
          <w:sz w:val="24"/>
        </w:rPr>
      </w:pPr>
      <w:r>
        <w:rPr>
          <w:b/>
          <w:sz w:val="24"/>
        </w:rPr>
      </w:r>
    </w:p>
    <w:p>
      <w:pPr>
        <w:pStyle w:val="Normal"/>
        <w:jc w:val="both"/>
        <w:rPr/>
      </w:pPr>
      <w:r>
        <w:rPr>
          <w:sz w:val="24"/>
        </w:rPr>
        <w:t>5.</w:t>
        <w:tab/>
      </w:r>
      <w:r>
        <w:rPr>
          <w:b/>
          <w:sz w:val="24"/>
        </w:rPr>
        <w:t>Setoff</w:t>
      </w:r>
      <w:r>
        <w:rPr>
          <w:sz w:val="24"/>
        </w:rPr>
        <w:t xml:space="preserve"> – language has been added to Sections 4 and 5 to clarify how the setoff provision should work.  Basically, Section 5 permits a non-defaulting party to setoff against amounts that it or its affiliates owe to the defaulting party, any amounts owed by the defaulting party to the non-defaulting party or its affiliates.  Further, Section 5 provides that in circumstances where the non-defaulting party would owe amounts to the defaulting party, such amounts would not have to be paid until all obligations owed by the defaulting party to the non-defaulting party and its affiliates are satisfied.  We feel that the revised language more adequately protects the non-defaulting party in a default/early termination scenario.</w:t>
      </w:r>
    </w:p>
    <w:p>
      <w:pPr>
        <w:pStyle w:val="Normal"/>
        <w:jc w:val="both"/>
        <w:rPr>
          <w:sz w:val="24"/>
        </w:rPr>
      </w:pPr>
      <w:r>
        <w:rPr>
          <w:sz w:val="24"/>
        </w:rPr>
      </w:r>
    </w:p>
    <w:p>
      <w:pPr>
        <w:pStyle w:val="Normal"/>
        <w:jc w:val="both"/>
        <w:rPr/>
      </w:pPr>
      <w:r>
        <w:rPr>
          <w:sz w:val="24"/>
        </w:rPr>
        <w:t>6.</w:t>
        <w:tab/>
      </w:r>
      <w:r>
        <w:rPr>
          <w:b/>
          <w:sz w:val="24"/>
        </w:rPr>
        <w:t>Assignments</w:t>
      </w:r>
      <w:r>
        <w:rPr>
          <w:sz w:val="24"/>
        </w:rPr>
        <w:t xml:space="preserve"> – language has been added to Section 6 to permit a party to assign its rights and obligations to a creditworthy affiliate without having to obtain the other party’s consent.</w:t>
      </w:r>
    </w:p>
    <w:p>
      <w:pPr>
        <w:pStyle w:val="Normal"/>
        <w:jc w:val="both"/>
        <w:rPr>
          <w:sz w:val="24"/>
        </w:rPr>
      </w:pPr>
      <w:r>
        <w:rPr>
          <w:sz w:val="24"/>
        </w:rPr>
      </w:r>
    </w:p>
    <w:p>
      <w:pPr>
        <w:pStyle w:val="Normal"/>
        <w:jc w:val="both"/>
        <w:rPr/>
      </w:pPr>
      <w:r>
        <w:rPr>
          <w:sz w:val="24"/>
        </w:rPr>
        <w:t>7.</w:t>
      </w:r>
      <w:r>
        <w:rPr>
          <w:b/>
          <w:sz w:val="24"/>
        </w:rPr>
        <w:tab/>
        <w:t>Arbitration</w:t>
      </w:r>
      <w:r>
        <w:rPr>
          <w:sz w:val="24"/>
        </w:rPr>
        <w:t xml:space="preserve"> – we have made clean-up changes to the arbitration provision to clarify how an arbitration proceeding is conducted.</w:t>
      </w:r>
    </w:p>
    <w:p>
      <w:pPr>
        <w:pStyle w:val="Normal"/>
        <w:jc w:val="both"/>
        <w:rPr>
          <w:b/>
          <w:sz w:val="24"/>
        </w:rPr>
      </w:pPr>
      <w:r>
        <w:rPr>
          <w:b/>
          <w:sz w:val="24"/>
        </w:rPr>
      </w:r>
    </w:p>
    <w:p>
      <w:pPr>
        <w:pStyle w:val="Normal"/>
        <w:jc w:val="both"/>
        <w:rPr/>
      </w:pPr>
      <w:r>
        <w:rPr>
          <w:sz w:val="24"/>
        </w:rPr>
        <w:t>8.</w:t>
        <w:tab/>
      </w:r>
      <w:r>
        <w:rPr>
          <w:b/>
          <w:sz w:val="24"/>
        </w:rPr>
        <w:t>Confidentiality and Severability</w:t>
      </w:r>
      <w:r>
        <w:rPr>
          <w:sz w:val="24"/>
        </w:rPr>
        <w:t xml:space="preserve"> – we have added to Section 6 confidentiality and severability provisions.</w:t>
      </w:r>
    </w:p>
    <w:p>
      <w:pPr>
        <w:pStyle w:val="Normal"/>
        <w:jc w:val="both"/>
        <w:rPr>
          <w:sz w:val="24"/>
        </w:rPr>
      </w:pPr>
      <w:r>
        <w:rPr>
          <w:sz w:val="24"/>
        </w:rPr>
      </w:r>
    </w:p>
    <w:p>
      <w:pPr>
        <w:pStyle w:val="Normal"/>
        <w:jc w:val="both"/>
        <w:rPr/>
      </w:pPr>
      <w:r>
        <w:rPr>
          <w:sz w:val="24"/>
        </w:rPr>
        <w:t>9.</w:t>
      </w:r>
      <w:r>
        <w:rPr>
          <w:b/>
          <w:sz w:val="24"/>
        </w:rPr>
        <w:tab/>
        <w:t xml:space="preserve">Definitions </w:t>
      </w:r>
      <w:r>
        <w:rPr>
          <w:sz w:val="24"/>
        </w:rPr>
        <w:t>– we have added a few new definitions to make this form work better with our form of confirmation.</w:t>
      </w:r>
    </w:p>
    <w:p>
      <w:pPr>
        <w:pStyle w:val="Normal"/>
        <w:jc w:val="both"/>
        <w:rPr>
          <w:sz w:val="24"/>
        </w:rPr>
      </w:pPr>
      <w:r>
        <w:rPr>
          <w:sz w:val="24"/>
        </w:rPr>
      </w:r>
    </w:p>
    <w:p>
      <w:pPr>
        <w:pStyle w:val="Normal"/>
        <w:jc w:val="both"/>
        <w:rPr>
          <w:sz w:val="24"/>
        </w:rPr>
      </w:pPr>
      <w:r>
        <w:rPr>
          <w:sz w:val="24"/>
        </w:rPr>
      </w:r>
    </w:p>
    <w:p>
      <w:pPr>
        <w:pStyle w:val="BodyText"/>
        <w:rPr/>
      </w:pPr>
      <w:r>
        <w:rPr/>
        <w:t xml:space="preserve">       </w:t>
      </w:r>
      <w:r>
        <w:rPr/>
        <w:t xml:space="preserve">We hope that you will agree with us that the aforedescribed changes benefit both parties equally.  Should you have any questions about these changes, please feel free to call Carol St. Clair in our legal group at 713-853-3989.  If we do not hear from you by </w:t>
      </w:r>
      <w:r>
        <w:rPr>
          <w:b/>
        </w:rPr>
        <w:t>Tuesday, March 21, 2000</w:t>
      </w:r>
      <w:r>
        <w:rPr/>
        <w:t>, we will assume that the enclosed form of Annex A is acceptable to you and that after March 21, 2000 it will govern all future trades between you and Enron until there is a master agreement in place between you and Enron.</w:t>
      </w:r>
    </w:p>
    <w:p>
      <w:pPr>
        <w:pStyle w:val="Normal"/>
        <w:jc w:val="both"/>
        <w:rPr>
          <w:sz w:val="24"/>
        </w:rPr>
      </w:pPr>
      <w:r>
        <w:rPr>
          <w:sz w:val="24"/>
        </w:rPr>
        <w:tab/>
      </w:r>
    </w:p>
    <w:p>
      <w:pPr>
        <w:pStyle w:val="Normal"/>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1999-12-15T14:44:00Z</dcterms:created>
  <dc:creator>cstclai</dc:creator>
  <dc:description/>
  <dc:language>en-CA</dc:language>
  <cp:lastModifiedBy>cstclai</cp:lastModifiedBy>
  <cp:lastPrinted>2000-03-06T12:30:00Z</cp:lastPrinted>
  <dcterms:modified xsi:type="dcterms:W3CDTF">2000-03-06T16:00:00Z</dcterms:modified>
  <cp:revision>6</cp:revision>
  <dc:subject/>
  <dc:title/>
</cp:coreProperties>
</file>