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eastAsia="Arial Narrow" w:cs="Arial Narrow"/>
          <w:b/>
          <w:bCs/>
          <w:smallCaps/>
          <w:sz w:val="20"/>
          <w:szCs w:val="20"/>
          <w:u w:val="single"/>
        </w:rPr>
      </w:pPr>
      <w:r>
        <w:rPr>
          <w:rFonts w:eastAsia="Arial Narrow" w:cs="Arial Narrow" w:ascii="Arial Narrow" w:hAnsi="Arial Narrow"/>
          <w:b/>
          <w:bCs/>
          <w:smallCaps/>
          <w:sz w:val="20"/>
          <w:szCs w:val="20"/>
          <w:u w:val="single"/>
        </w:rPr>
        <w:t>Annex A</w:t>
      </w:r>
    </w:p>
    <w:p>
      <w:pPr>
        <w:pStyle w:val="Heading2"/>
        <w:spacing w:before="0" w:after="240"/>
        <w:ind w:hanging="0" w:start="0"/>
        <w:jc w:val="center"/>
        <w:rPr>
          <w:rFonts w:ascii="Arial Narrow" w:hAnsi="Arial Narrow" w:eastAsia="Arial Narrow" w:cs="Arial Narrow"/>
          <w:b/>
          <w:bCs/>
          <w:smallCaps/>
          <w:sz w:val="20"/>
          <w:szCs w:val="20"/>
        </w:rPr>
      </w:pPr>
      <w:r>
        <w:rPr>
          <w:rFonts w:eastAsia="Arial Narrow" w:cs="Arial Narrow" w:ascii="Arial Narrow" w:hAnsi="Arial Narrow"/>
          <w:b/>
          <w:bCs/>
          <w:smallCaps/>
          <w:sz w:val="20"/>
          <w:szCs w:val="20"/>
        </w:rPr>
        <w:t>General Terms and Conditions of Confirmation</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sectPr>
      </w:pPr>
    </w:p>
    <w:p>
      <w:pPr>
        <w:pStyle w:val="Heading2"/>
        <w:tabs>
          <w:tab w:val="clear" w:pos="720"/>
          <w:tab w:val="left" w:pos="270" w:leader="none"/>
        </w:tabs>
        <w:spacing w:before="120" w:after="0"/>
        <w:ind w:hanging="0" w:start="0"/>
        <w:rPr>
          <w:rFonts w:ascii="Arial Narrow" w:hAnsi="Arial Narrow" w:eastAsia="Arial Narrow" w:cs="Arial Narrow"/>
          <w:sz w:val="20"/>
          <w:szCs w:val="20"/>
        </w:rPr>
      </w:pPr>
      <w:r>
        <w:rPr>
          <w:rFonts w:eastAsia="Arial Narrow" w:cs="Arial Narrow" w:ascii="Arial Narrow" w:hAnsi="Arial Narrow"/>
          <w:sz w:val="20"/>
          <w:szCs w:val="20"/>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Transactions.</w:t>
      </w:r>
      <w:r>
        <w:rPr>
          <w:rFonts w:eastAsia="Arial Narrow" w:cs="Arial Narrow" w:ascii="Arial Narrow" w:hAnsi="Arial Narrow"/>
          <w:sz w:val="20"/>
          <w:szCs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Performance Obligations.</w:t>
      </w:r>
      <w:r>
        <w:rPr>
          <w:rFonts w:eastAsia="Arial Narrow" w:cs="Arial Narrow" w:ascii="Arial Narrow" w:hAnsi="Arial Narrow"/>
          <w:sz w:val="20"/>
          <w:szCs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2"/>
        </w:numPr>
        <w:tabs>
          <w:tab w:val="clear" w:pos="720"/>
          <w:tab w:val="left" w:pos="0" w:leader="none"/>
        </w:tabs>
        <w:spacing w:before="120" w:after="0"/>
        <w:ind w:hanging="720" w:start="720" w:end="0"/>
        <w:rPr/>
      </w:pPr>
      <w:r>
        <w:rPr>
          <w:rFonts w:eastAsia="Arial Narrow" w:cs="Arial Narrow" w:ascii="Arial Narrow" w:hAnsi="Arial Narrow"/>
          <w:b/>
          <w:bCs/>
          <w:sz w:val="20"/>
          <w:szCs w:val="20"/>
          <w:u w:val="single"/>
        </w:rPr>
        <w:t>Liquidated Damages</w:t>
      </w:r>
      <w:r>
        <w:rPr>
          <w:rFonts w:eastAsia="Arial Narrow" w:cs="Arial Narrow" w:ascii="Arial Narrow" w:hAnsi="Arial Narrow"/>
          <w:sz w:val="20"/>
          <w:szCs w:val="20"/>
          <w:u w:val="single"/>
        </w:rPr>
        <w:t>.</w:t>
      </w:r>
      <w:r>
        <w:rPr>
          <w:rFonts w:eastAsia="Arial Narrow" w:cs="Arial Narrow" w:ascii="Arial Narrow" w:hAnsi="Arial Narrow"/>
          <w:sz w:val="20"/>
          <w:szCs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b/>
          <w:bCs/>
          <w:u w:val="single"/>
        </w:rPr>
        <w:t>Force Majeure</w:t>
      </w:r>
      <w:r>
        <w:rPr>
          <w:rFonts w:eastAsia="Arial Narrow" w:cs="Arial Narrow" w:ascii="Arial Narrow" w:hAnsi="Arial Narrow"/>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2"/>
        </w:numPr>
        <w:tabs>
          <w:tab w:val="clear" w:pos="720"/>
          <w:tab w:val="left" w:pos="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720" w:start="720" w:end="0"/>
        <w:jc w:val="both"/>
        <w:rPr/>
      </w:pPr>
      <w:r>
        <w:rPr>
          <w:rFonts w:eastAsia="Arial Narrow" w:cs="Arial Narrow" w:ascii="Arial Narrow" w:hAnsi="Arial Narrow"/>
        </w:rPr>
        <w:t xml:space="preserve"> </w:t>
      </w:r>
      <w:r>
        <w:rPr>
          <w:rFonts w:eastAsia="Arial Narrow" w:cs="Arial Narrow" w:ascii="Arial Narrow" w:hAnsi="Arial Narrow"/>
          <w:b/>
          <w:bCs/>
          <w:u w:val="single"/>
        </w:rPr>
        <w:t>Events of Default and Remedies</w:t>
      </w:r>
      <w:r>
        <w:rPr>
          <w:rFonts w:eastAsia="Arial Narrow" w:cs="Arial Narrow" w:ascii="Arial Narrow" w:hAnsi="Arial Narrow"/>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2"/>
        </w:numPr>
        <w:tabs>
          <w:tab w:val="clear" w:pos="720"/>
          <w:tab w:val="left" w:pos="0" w:leader="none"/>
          <w:tab w:val="left" w:pos="270" w:leader="none"/>
        </w:tabs>
        <w:spacing w:before="120" w:after="0"/>
        <w:ind w:hanging="720" w:start="720" w:end="0"/>
        <w:jc w:val="both"/>
        <w:rPr/>
      </w:pPr>
      <w:r>
        <w:rPr>
          <w:rFonts w:eastAsia="Arial Narrow" w:cs="Arial Narrow" w:ascii="Arial Narrow" w:hAnsi="Arial Narrow"/>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eastAsia="Arial Narrow" w:cs="Arial Narrow" w:ascii="Arial Narrow" w:hAnsi="Arial Narrow"/>
          <w:u w:val="single"/>
        </w:rPr>
        <w:t>Costs</w:t>
      </w:r>
      <w:r>
        <w:rPr>
          <w:rFonts w:eastAsia="Arial Narrow" w:cs="Arial Narrow" w:ascii="Arial Narrow" w:hAnsi="Arial Narrow"/>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eastAsia="Arial Narrow" w:cs="Arial Narrow" w:ascii="Arial Narrow" w:hAnsi="Arial Narrow"/>
          <w:u w:val="single"/>
        </w:rPr>
        <w:t>Gains</w:t>
      </w:r>
      <w:r>
        <w:rPr>
          <w:rFonts w:eastAsia="Arial Narrow" w:cs="Arial Narrow" w:ascii="Arial Narrow" w:hAnsi="Arial Narrow"/>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eastAsia="Arial Narrow" w:cs="Arial Narrow" w:ascii="Arial Narrow" w:hAnsi="Arial Narrow"/>
          <w:u w:val="single"/>
        </w:rPr>
        <w:t>Losses</w:t>
      </w:r>
      <w:r>
        <w:rPr>
          <w:rFonts w:eastAsia="Arial Narrow" w:cs="Arial Narrow" w:ascii="Arial Narrow" w:hAnsi="Arial Narrow"/>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2"/>
        </w:numPr>
        <w:tabs>
          <w:tab w:val="left" w:pos="0" w:leader="none"/>
          <w:tab w:val="left" w:pos="180" w:leader="none"/>
          <w:tab w:val="left" w:pos="720" w:leader="none"/>
        </w:tabs>
        <w:ind w:hanging="720" w:start="720" w:end="0"/>
        <w:rPr>
          <w:rFonts w:ascii="Arial Narrow" w:hAnsi="Arial Narrow" w:eastAsia="Arial Narrow" w:cs="Arial Narrow"/>
        </w:rPr>
      </w:pPr>
      <w:r>
        <w:rPr>
          <w:rFonts w:eastAsia="Arial Narrow"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2"/>
        </w:numPr>
        <w:tabs>
          <w:tab w:val="left" w:pos="0" w:leader="none"/>
          <w:tab w:val="left" w:pos="720" w:leader="none"/>
          <w:tab w:val="left" w:pos="1080" w:leader="none"/>
          <w:tab w:val="left" w:pos="18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s>
        <w:spacing w:before="120" w:after="0"/>
        <w:ind w:hanging="360" w:start="360"/>
        <w:jc w:val="both"/>
        <w:rPr/>
      </w:pPr>
      <w:r>
        <w:rPr>
          <w:rFonts w:eastAsia="Arial Narrow" w:cs="Arial Narrow" w:ascii="Arial Narrow" w:hAnsi="Arial Narrow"/>
          <w:b/>
          <w:bCs/>
          <w:u w:val="single"/>
        </w:rPr>
        <w:t>Billing and Payment Netting</w:t>
      </w:r>
      <w:r>
        <w:rPr>
          <w:rFonts w:eastAsia="Arial Narrow" w:cs="Arial Narrow" w:ascii="Arial Narrow" w:hAnsi="Arial Narrow"/>
          <w:b/>
          <w:bCs/>
        </w:rPr>
        <w:t xml:space="preserve">.  </w:t>
      </w:r>
      <w:r>
        <w:rPr>
          <w:rFonts w:eastAsia="Arial Narrow" w:cs="Arial Narrow" w:ascii="Arial Narrow" w:hAnsi="Arial Narrow"/>
        </w:rPr>
        <w:t>(a) By the 10</w:t>
      </w:r>
      <w:r>
        <w:rPr>
          <w:rFonts w:eastAsia="Arial Narrow" w:cs="Arial Narrow" w:ascii="Arial Narrow" w:hAnsi="Arial Narrow"/>
          <w:vertAlign w:val="superscript"/>
        </w:rPr>
        <w:t>th</w:t>
      </w:r>
      <w:r>
        <w:rPr>
          <w:rFonts w:eastAsia="Arial Narrow" w:cs="Arial Narrow" w:ascii="Arial Narrow" w:hAnsi="Arial Narrow"/>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eastAsia="Arial Narrow" w:cs="Arial Narrow" w:ascii="Arial Narrow" w:hAnsi="Arial Narrow"/>
          <w:vertAlign w:val="superscript"/>
        </w:rPr>
        <w:t>th</w:t>
      </w:r>
      <w:r>
        <w:rPr>
          <w:rFonts w:eastAsia="Arial Narrow" w:cs="Arial Narrow" w:ascii="Arial Narrow" w:hAnsi="Arial Narrow"/>
        </w:rPr>
        <w:t xml:space="preserve"> day after the statement was received, or if such day is not a Business Day, the next Business Day.  Notwithstanding the foregoing, all Option premiums shall be payable by Buyer on or before the 2</w:t>
      </w:r>
      <w:r>
        <w:rPr>
          <w:rFonts w:eastAsia="Arial Narrow" w:cs="Arial Narrow" w:ascii="Arial Narrow" w:hAnsi="Arial Narrow"/>
          <w:vertAlign w:val="superscript"/>
        </w:rPr>
        <w:t>nd</w:t>
      </w:r>
      <w:r>
        <w:rPr>
          <w:rFonts w:eastAsia="Arial Narrow" w:cs="Arial Narrow" w:ascii="Arial Narrow" w:hAnsi="Arial Narrow"/>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2"/>
        </w:numPr>
        <w:tabs>
          <w:tab w:val="left" w:pos="0" w:leader="none"/>
          <w:tab w:val="left" w:pos="180" w:leader="none"/>
          <w:tab w:val="left" w:pos="720" w:leader="none"/>
        </w:tabs>
        <w:spacing w:before="120" w:after="0"/>
        <w:ind w:hanging="720" w:start="720" w:end="0"/>
        <w:rPr>
          <w:rFonts w:ascii="Arial Narrow" w:hAnsi="Arial Narrow" w:eastAsia="Arial Narrow" w:cs="Arial Narrow"/>
          <w:sz w:val="20"/>
          <w:szCs w:val="20"/>
        </w:rPr>
      </w:pPr>
      <w:r>
        <w:rPr>
          <w:rFonts w:eastAsia="Arial Narrow" w:cs="Arial Narrow" w:ascii="Arial Narrow" w:hAnsi="Arial Narrow"/>
          <w:sz w:val="20"/>
          <w:szCs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2"/>
        </w:numPr>
        <w:tabs>
          <w:tab w:val="left" w:pos="0" w:leader="none"/>
          <w:tab w:val="left" w:pos="720" w:leader="none"/>
        </w:tabs>
        <w:spacing w:before="240" w:after="0"/>
        <w:ind w:hanging="720" w:start="720" w:end="0"/>
        <w:rPr/>
      </w:pPr>
      <w:r>
        <w:rPr>
          <w:rFonts w:eastAsia="Arial Narrow" w:cs="Arial Narrow" w:ascii="Arial Narrow" w:hAnsi="Arial Narrow"/>
          <w:b/>
          <w:bCs/>
          <w:sz w:val="20"/>
          <w:szCs w:val="20"/>
          <w:u w:val="single"/>
        </w:rPr>
        <w:t>Limitation of Liability</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2"/>
        </w:num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s>
        <w:spacing w:before="120" w:after="0"/>
        <w:ind w:hanging="720" w:start="720" w:end="0"/>
        <w:jc w:val="both"/>
        <w:rPr/>
      </w:pPr>
      <w:r>
        <w:rPr>
          <w:rFonts w:eastAsia="Arial Narrow" w:cs="Arial Narrow" w:ascii="Arial Narrow" w:hAnsi="Arial Narrow"/>
          <w:b/>
          <w:bCs/>
          <w:u w:val="single"/>
        </w:rPr>
        <w:t>Confidentiality.</w:t>
      </w:r>
      <w:r>
        <w:rPr>
          <w:rFonts w:eastAsia="Arial Narrow" w:cs="Arial Narrow" w:ascii="Arial Narrow" w:hAnsi="Arial Narrow"/>
          <w:b/>
          <w:bCs/>
        </w:rPr>
        <w:t xml:space="preserve">  </w:t>
      </w:r>
      <w:r>
        <w:rPr>
          <w:rFonts w:eastAsia="Arial Narrow" w:cs="Arial Narrow" w:ascii="Arial Narrow" w:hAnsi="Arial Narrow"/>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2"/>
        </w:num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s>
        <w:spacing w:before="120" w:after="0"/>
        <w:ind w:hanging="720" w:start="720" w:end="0"/>
        <w:jc w:val="both"/>
        <w:rPr/>
      </w:pPr>
      <w:r>
        <w:rPr>
          <w:rFonts w:eastAsia="Arial Narrow" w:cs="Arial Narrow" w:ascii="Arial Narrow" w:hAnsi="Arial Narrow"/>
          <w:b/>
          <w:bCs/>
          <w:u w:val="single"/>
        </w:rPr>
        <w:t>Taxes</w:t>
      </w:r>
      <w:r>
        <w:rPr>
          <w:rFonts w:eastAsia="Arial Narrow" w:cs="Arial Narrow" w:ascii="Arial Narrow" w:hAnsi="Arial Narrow"/>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2"/>
        </w:numPr>
        <w:tabs>
          <w:tab w:val="left" w:pos="0" w:leader="none"/>
          <w:tab w:val="left" w:pos="450" w:leader="none"/>
          <w:tab w:val="left" w:pos="720" w:leader="none"/>
          <w:tab w:val="left" w:pos="810" w:leader="none"/>
        </w:tabs>
        <w:spacing w:before="120" w:after="0"/>
        <w:ind w:hanging="360" w:start="720" w:end="0"/>
        <w:jc w:val="both"/>
        <w:rPr/>
      </w:pPr>
      <w:r>
        <w:rPr>
          <w:rFonts w:eastAsia="Arial Narrow" w:cs="Arial Narrow" w:ascii="Arial Narrow" w:hAnsi="Arial Narrow"/>
          <w:b/>
          <w:bCs/>
          <w:u w:val="single"/>
        </w:rPr>
        <w:t>Miscellaneous</w:t>
      </w:r>
      <w:r>
        <w:rPr>
          <w:rFonts w:eastAsia="Arial Narrow" w:cs="Arial Narrow" w:ascii="Arial Narrow" w:hAnsi="Arial Narrow"/>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eastAsia="Arial Narrow" w:cs="Arial Narrow"/>
        </w:rPr>
      </w:pPr>
      <w:r>
        <w:rPr>
          <w:rFonts w:eastAsia="Arial Narrow"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left" w:pos="0" w:leader="none"/>
          <w:tab w:val="left" w:pos="180" w:leader="none"/>
          <w:tab w:val="left" w:pos="720" w:leader="none"/>
        </w:tabs>
        <w:ind w:hanging="720" w:start="720" w:end="0"/>
        <w:rPr>
          <w:rFonts w:ascii="Arial Narrow" w:hAnsi="Arial Narrow" w:eastAsia="Arial Narrow" w:cs="Arial Narrow"/>
        </w:rPr>
      </w:pPr>
      <w:r>
        <w:rPr>
          <w:rFonts w:eastAsia="Arial Narrow"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left" w:pos="0" w:leader="none"/>
          <w:tab w:val="left" w:pos="180" w:leader="none"/>
          <w:tab w:val="left" w:pos="720" w:leader="none"/>
        </w:tabs>
        <w:ind w:hanging="720" w:start="720" w:end="0"/>
        <w:rPr>
          <w:rFonts w:ascii="Arial Narrow" w:hAnsi="Arial Narrow" w:eastAsia="Arial Narrow" w:cs="Arial Narrow"/>
          <w:b/>
          <w:bCs/>
        </w:rPr>
      </w:pPr>
      <w:r>
        <w:rPr>
          <w:rFonts w:eastAsia="Arial Narrow" w:cs="Arial Narrow" w:ascii="Arial Narrow" w:hAnsi="Arial Narrow"/>
          <w:b/>
          <w:bCs/>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3"/>
        </w:numPr>
        <w:tabs>
          <w:tab w:val="left" w:pos="0" w:leader="none"/>
          <w:tab w:val="left" w:pos="450" w:leader="none"/>
          <w:tab w:val="left" w:pos="720" w:leader="none"/>
          <w:tab w:val="left" w:pos="810" w:leader="none"/>
        </w:tabs>
        <w:spacing w:before="120" w:after="0"/>
        <w:ind w:hanging="720" w:start="720" w:end="0"/>
        <w:jc w:val="both"/>
        <w:rPr/>
      </w:pPr>
      <w:r>
        <w:rPr>
          <w:rFonts w:eastAsia="Arial Narrow" w:cs="Arial Narrow" w:ascii="Arial Narrow" w:hAnsi="Arial Narrow"/>
          <w:b/>
          <w:bCs/>
          <w:u w:val="single"/>
        </w:rPr>
        <w:t>Definitions</w:t>
      </w:r>
      <w:r>
        <w:rPr>
          <w:rFonts w:eastAsia="Arial Narrow" w:cs="Arial Narrow" w:ascii="Arial Narrow" w:hAnsi="Arial Narrow"/>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Affiliate</w:t>
      </w:r>
      <w:r>
        <w:rPr>
          <w:rFonts w:eastAsia="Arial Narrow" w:cs="Arial Narrow" w:ascii="Arial Narrow" w:hAnsi="Arial Narrow"/>
          <w:sz w:val="20"/>
          <w:szCs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Business Day</w:t>
      </w:r>
      <w:r>
        <w:rPr>
          <w:rFonts w:eastAsia="Arial Narrow" w:cs="Arial Narrow" w:ascii="Arial Narrow" w:hAnsi="Arial Narrow"/>
          <w:sz w:val="20"/>
          <w:szCs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CPT</w:t>
      </w:r>
      <w:r>
        <w:rPr>
          <w:rFonts w:eastAsia="Arial Narrow" w:cs="Arial Narrow" w:ascii="Arial Narrow" w:hAnsi="Arial Narrow"/>
          <w:sz w:val="20"/>
          <w:szCs w:val="20"/>
        </w:rPr>
        <w:t>" means Central Prevailing Time.</w:t>
      </w:r>
    </w:p>
    <w:p>
      <w:pPr>
        <w:pStyle w:val="Justified"/>
        <w:tabs>
          <w:tab w:val="clear" w:pos="720"/>
          <w:tab w:val="left" w:pos="270" w:leader="none"/>
        </w:tabs>
        <w:spacing w:before="120" w:after="0"/>
        <w:rPr>
          <w:b/>
          <w:bCs/>
          <w:i/>
          <w:i/>
          <w:iCs/>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Call Option</w:t>
      </w:r>
      <w:r>
        <w:rPr>
          <w:rFonts w:eastAsia="Arial Narrow" w:cs="Arial Narrow" w:ascii="Arial Narrow" w:hAnsi="Arial Narrow"/>
          <w:sz w:val="20"/>
          <w:szCs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Claims</w:t>
      </w:r>
      <w:r>
        <w:rPr>
          <w:rFonts w:eastAsia="Arial Narrow" w:cs="Arial Narrow" w:ascii="Arial Narrow" w:hAnsi="Arial Narrow"/>
          <w:i/>
          <w:iCs/>
          <w:sz w:val="20"/>
          <w:szCs w:val="20"/>
        </w:rPr>
        <w:t>"</w:t>
      </w:r>
      <w:r>
        <w:rPr>
          <w:rFonts w:eastAsia="Arial Narrow" w:cs="Arial Narrow" w:ascii="Arial Narrow" w:hAnsi="Arial Narrow"/>
          <w:sz w:val="20"/>
          <w:szCs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Contract Price</w:t>
      </w:r>
      <w:r>
        <w:rPr>
          <w:rFonts w:eastAsia="Arial Narrow" w:cs="Arial Narrow" w:ascii="Arial Narrow" w:hAnsi="Arial Narrow"/>
          <w:sz w:val="20"/>
          <w:szCs w:val="20"/>
        </w:rPr>
        <w:t>" means the price set forth in the Confirmation Letter, or in the case of Options, the Strike Price.</w:t>
      </w:r>
    </w:p>
    <w:p>
      <w:pPr>
        <w:pStyle w:val="Heading2"/>
        <w:spacing w:before="120" w:after="0"/>
        <w:ind w:hanging="0" w:start="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Contract Quantity</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Delivery Point</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agreed point of delivery and receipt of Energy pursuant to a Transaction.</w:t>
      </w:r>
    </w:p>
    <w:p>
      <w:pPr>
        <w:pStyle w:val="Heading2"/>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Delivery Term</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Energy</w:t>
      </w:r>
      <w:r>
        <w:rPr>
          <w:rFonts w:eastAsia="Arial Narrow" w:cs="Arial Narrow" w:ascii="Arial Narrow" w:hAnsi="Arial Narrow"/>
          <w:sz w:val="20"/>
          <w:szCs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EPT</w:t>
      </w:r>
      <w:r>
        <w:rPr>
          <w:rFonts w:eastAsia="Arial Narrow" w:cs="Arial Narrow" w:ascii="Arial Narrow" w:hAnsi="Arial Narrow"/>
          <w:sz w:val="20"/>
          <w:szCs w:val="20"/>
        </w:rPr>
        <w:t>" means Eastern Prevailing Time.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Force Majeure</w:t>
      </w:r>
      <w:r>
        <w:rPr>
          <w:rFonts w:eastAsia="Arial Narrow" w:cs="Arial Narrow" w:ascii="Arial Narrow" w:hAnsi="Arial Narrow"/>
          <w:sz w:val="20"/>
          <w:szCs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Interest Rate</w:t>
      </w:r>
      <w:r>
        <w:rPr>
          <w:rFonts w:eastAsia="Arial Narrow" w:cs="Arial Narrow" w:ascii="Arial Narrow" w:hAnsi="Arial Narrow"/>
          <w:sz w:val="20"/>
          <w:szCs w:val="20"/>
        </w:rPr>
        <w:t xml:space="preserve">" means, for any date, two percent over the per annum rate of interest equal to the prime lending rate as may from time to time be published in </w:t>
      </w:r>
      <w:r>
        <w:rPr>
          <w:rFonts w:eastAsia="Arial Narrow" w:cs="Arial Narrow" w:ascii="Arial Narrow" w:hAnsi="Arial Narrow"/>
          <w:sz w:val="20"/>
          <w:szCs w:val="20"/>
          <w:u w:val="single"/>
        </w:rPr>
        <w:t>The Wall Street Journal</w:t>
      </w:r>
      <w:r>
        <w:rPr>
          <w:rFonts w:eastAsia="Arial Narrow" w:cs="Arial Narrow" w:ascii="Arial Narrow" w:hAnsi="Arial Narrow"/>
          <w:sz w:val="20"/>
          <w:szCs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MW</w:t>
      </w:r>
      <w:r>
        <w:rPr>
          <w:rFonts w:eastAsia="Arial Narrow" w:cs="Arial Narrow" w:ascii="Arial Narrow" w:hAnsi="Arial Narrow"/>
          <w:sz w:val="20"/>
          <w:szCs w:val="20"/>
        </w:rPr>
        <w:t>" means one megawatt.</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MWh</w:t>
      </w:r>
      <w:r>
        <w:rPr>
          <w:rFonts w:eastAsia="Arial Narrow" w:cs="Arial Narrow" w:ascii="Arial Narrow" w:hAnsi="Arial Narrow"/>
          <w:sz w:val="20"/>
          <w:szCs w:val="20"/>
        </w:rPr>
        <w:t>" means one megawatt hour.</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Master Agreement</w:t>
      </w:r>
      <w:r>
        <w:rPr>
          <w:rFonts w:eastAsia="Arial Narrow" w:cs="Arial Narrow" w:ascii="Arial Narrow" w:hAnsi="Arial Narrow"/>
          <w:sz w:val="20"/>
          <w:szCs w:val="20"/>
        </w:rPr>
        <w:t>" means a master trading agreement, executed by the Parties for the purchase and sale of Energy.</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Option</w:t>
      </w:r>
      <w:r>
        <w:rPr>
          <w:rFonts w:eastAsia="Arial Narrow" w:cs="Arial Narrow" w:ascii="Arial Narrow" w:hAnsi="Arial Narrow"/>
          <w:sz w:val="20"/>
          <w:szCs w:val="20"/>
        </w:rPr>
        <w:t>" means a Call Option, Put Option or other option transaction.</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PPT</w:t>
      </w:r>
      <w:r>
        <w:rPr>
          <w:rFonts w:eastAsia="Arial Narrow" w:cs="Arial Narrow" w:ascii="Arial Narrow" w:hAnsi="Arial Narrow"/>
          <w:sz w:val="20"/>
          <w:szCs w:val="20"/>
        </w:rPr>
        <w:t>" means Pacific Prevailing Time.</w:t>
      </w:r>
    </w:p>
    <w:p>
      <w:pPr>
        <w:pStyle w:val="Justified"/>
        <w:tabs>
          <w:tab w:val="clear" w:pos="720"/>
          <w:tab w:val="left" w:pos="270" w:leader="none"/>
        </w:tabs>
        <w:spacing w:before="120" w:after="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Physically Settled Power Transaction</w:t>
      </w:r>
      <w:r>
        <w:rPr>
          <w:rFonts w:eastAsia="Arial Narrow" w:cs="Arial Narrow" w:ascii="Arial Narrow" w:hAnsi="Arial Narrow"/>
          <w:sz w:val="20"/>
          <w:szCs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Put Option</w:t>
      </w:r>
      <w:r>
        <w:rPr>
          <w:rFonts w:eastAsia="Arial Narrow" w:cs="Arial Narrow" w:ascii="Arial Narrow" w:hAnsi="Arial Narrow"/>
          <w:sz w:val="20"/>
          <w:szCs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Replacement Price</w:t>
      </w:r>
      <w:r>
        <w:rPr>
          <w:rFonts w:eastAsia="Arial Narrow" w:cs="Arial Narrow" w:ascii="Arial Narrow" w:hAnsi="Arial Narrow"/>
          <w:sz w:val="20"/>
          <w:szCs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eastAsia="Arial Narrow" w:cs="Arial Narrow" w:ascii="Arial Narrow" w:hAnsi="Arial Narrow"/>
          <w:sz w:val="20"/>
          <w:szCs w:val="20"/>
        </w:rPr>
        <w:t>"</w:t>
      </w:r>
      <w:r>
        <w:rPr>
          <w:rFonts w:eastAsia="Arial Narrow" w:cs="Arial Narrow" w:ascii="Arial Narrow" w:hAnsi="Arial Narrow"/>
          <w:i/>
          <w:iCs/>
          <w:sz w:val="20"/>
          <w:szCs w:val="20"/>
          <w:u w:val="single"/>
        </w:rPr>
        <w:t>Sales Price</w:t>
      </w:r>
      <w:r>
        <w:rPr>
          <w:rFonts w:eastAsia="Arial Narrow" w:cs="Arial Narrow" w:ascii="Arial Narrow" w:hAnsi="Arial Narrow"/>
          <w:sz w:val="20"/>
          <w:szCs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120"/>
        <w:ind w:hanging="0" w:start="0"/>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Strike Price</w:t>
      </w:r>
      <w:r>
        <w:rPr>
          <w:rFonts w:eastAsia="Arial Narrow" w:cs="Arial Narrow" w:ascii="Arial Narrow" w:hAnsi="Arial Narrow"/>
          <w:i/>
          <w:iCs/>
          <w:sz w:val="20"/>
          <w:szCs w:val="20"/>
        </w:rPr>
        <w:t xml:space="preserve">" </w:t>
      </w:r>
      <w:r>
        <w:rPr>
          <w:rFonts w:eastAsia="Arial Narrow" w:cs="Arial Narrow" w:ascii="Arial Narrow" w:hAnsi="Arial Narrow"/>
          <w:sz w:val="20"/>
          <w:szCs w:val="20"/>
        </w:rPr>
        <w:t>means the price in $ U.S. (unless otherwise provided for) to be paid by the appropriate Party for the purchase of Energy pursuant to a Call Option or Put Option, as the case may be.</w:t>
      </w:r>
    </w:p>
    <w:p>
      <w:pPr>
        <w:pStyle w:val="Justified"/>
        <w:rPr/>
      </w:pPr>
      <w:r>
        <w:rPr>
          <w:rFonts w:eastAsia="Arial Narrow" w:cs="Arial Narrow" w:ascii="Arial Narrow" w:hAnsi="Arial Narrow"/>
          <w:i/>
          <w:iCs/>
          <w:sz w:val="20"/>
          <w:szCs w:val="20"/>
        </w:rPr>
        <w:t>"</w:t>
      </w:r>
      <w:r>
        <w:rPr>
          <w:rFonts w:eastAsia="Arial Narrow" w:cs="Arial Narrow" w:ascii="Arial Narrow" w:hAnsi="Arial Narrow"/>
          <w:i/>
          <w:iCs/>
          <w:sz w:val="20"/>
          <w:szCs w:val="20"/>
          <w:u w:val="single"/>
        </w:rPr>
        <w:t>Taxes</w:t>
      </w:r>
      <w:r>
        <w:rPr>
          <w:rFonts w:eastAsia="Arial Narrow" w:cs="Arial Narrow" w:ascii="Arial Narrow" w:hAnsi="Arial Narrow"/>
          <w:i/>
          <w:iCs/>
          <w:sz w:val="20"/>
          <w:szCs w:val="20"/>
        </w:rPr>
        <w:t>"</w:t>
      </w:r>
      <w:r>
        <w:rPr>
          <w:rFonts w:eastAsia="Arial Narrow" w:cs="Arial Narrow" w:ascii="Arial Narrow" w:hAnsi="Arial Narrow"/>
          <w:sz w:val="20"/>
          <w:szCs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tabs>
          <w:tab w:val="clear" w:pos="720"/>
          <w:tab w:val="left" w:pos="270" w:leader="none"/>
        </w:tabs>
        <w:spacing w:before="120" w:after="0"/>
        <w:ind w:hanging="0" w:start="0"/>
        <w:rPr>
          <w:rFonts w:ascii="Arial Narrow" w:hAnsi="Arial Narrow" w:eastAsia="Arial Narrow" w:cs="Arial Narrow"/>
          <w:sz w:val="20"/>
          <w:szCs w:val="20"/>
        </w:rPr>
      </w:pPr>
      <w:r>
        <w:rPr>
          <w:rFonts w:eastAsia="Arial Narrow" w:cs="Arial Narrow" w:ascii="Arial Narrow" w:hAnsi="Arial Narrow"/>
          <w:sz w:val="20"/>
          <w:szCs w:val="20"/>
        </w:rPr>
      </w:r>
    </w:p>
    <w:p>
      <w:pPr>
        <w:sectPr>
          <w:type w:val="continuous"/>
          <w:pgSz w:w="12200" w:h="15840"/>
          <w:pgMar w:left="1152" w:right="1095" w:gutter="0" w:header="720" w:top="864" w:footer="720" w:bottom="864"/>
          <w:cols w:num="2" w:space="708" w:equalWidth="true" w:sep="false"/>
          <w:formProt w:val="false"/>
          <w:textDirection w:val="lrTb"/>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rPr>
          <w:rFonts w:ascii="Arial Narrow" w:hAnsi="Arial Narrow" w:eastAsia="Arial Narrow" w:cs="Arial Narrow"/>
        </w:rPr>
      </w:pPr>
      <w:r>
        <w:rPr>
          <w:rFonts w:eastAsia="Arial Narrow" w:cs="Arial Narrow" w:ascii="Arial Narrow" w:hAnsi="Arial Narrow"/>
        </w:rPr>
      </w:r>
    </w:p>
    <w:sectPr>
      <w:type w:val="continuous"/>
      <w:pgSz w:w="12200" w:h="15840"/>
      <w:pgMar w:left="1152" w:right="1095" w:gutter="0" w:header="720" w:top="864" w:footer="720" w:bottom="864"/>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eastAsia="Arial Narrow" w:cs="Arial Narrow"/>
        <w:sz w:val="18"/>
        <w:szCs w:val="18"/>
      </w:rPr>
    </w:pPr>
    <w:r>
      <w:rPr/>
    </w:r>
  </w:p>
  <w:p>
    <w:pPr>
      <w:pStyle w:val="Footer"/>
      <w:jc w:val="center"/>
      <w:rPr/>
    </w:pPr>
    <w:r>
      <w:rPr>
        <w:rStyle w:val="PageNumber"/>
        <w:rFonts w:eastAsia="Arial Narrow" w:cs="Arial Narrow" w:ascii="Arial Narrow" w:hAnsi="Arial Narrow"/>
        <w:sz w:val="18"/>
        <w:szCs w:val="18"/>
      </w:rPr>
      <w:t xml:space="preserve">Page </w:t>
    </w:r>
    <w:r>
      <w:rPr>
        <w:rStyle w:val="PageNumber"/>
        <w:rFonts w:eastAsia="Arial Narrow" w:cs="Arial Narrow" w:ascii="Arial Narrow" w:hAnsi="Arial Narrow"/>
        <w:sz w:val="18"/>
        <w:szCs w:val="18"/>
      </w:rPr>
      <w:fldChar w:fldCharType="begin"/>
    </w:r>
    <w:r>
      <w:rPr>
        <w:rStyle w:val="PageNumber"/>
        <w:sz w:val="18"/>
        <w:szCs w:val="18"/>
        <w:rFonts w:eastAsia="Arial Narrow" w:cs="Arial Narrow" w:ascii="Arial Narrow" w:hAnsi="Arial Narrow"/>
      </w:rPr>
      <w:instrText xml:space="preserve"> PAGE </w:instrText>
    </w:r>
    <w:r>
      <w:rPr>
        <w:rStyle w:val="PageNumber"/>
        <w:sz w:val="18"/>
        <w:szCs w:val="18"/>
        <w:rFonts w:eastAsia="Arial Narrow" w:cs="Arial Narrow" w:ascii="Arial Narrow" w:hAnsi="Arial Narrow"/>
      </w:rPr>
      <w:fldChar w:fldCharType="separate"/>
    </w:r>
    <w:r>
      <w:rPr>
        <w:rStyle w:val="PageNumber"/>
        <w:sz w:val="18"/>
        <w:szCs w:val="18"/>
        <w:rFonts w:eastAsia="Arial Narrow" w:cs="Arial Narrow" w:ascii="Arial Narrow" w:hAnsi="Arial Narrow"/>
      </w:rPr>
      <w:t>7</w:t>
    </w:r>
    <w:r>
      <w:rPr>
        <w:rStyle w:val="PageNumber"/>
        <w:sz w:val="18"/>
        <w:szCs w:val="18"/>
        <w:rFonts w:eastAsia="Arial Narrow" w:cs="Arial Narrow" w:ascii="Arial Narrow" w:hAnsi="Arial Narrow"/>
      </w:rPr>
      <w:fldChar w:fldCharType="end"/>
    </w:r>
    <w:r>
      <w:rPr>
        <w:rStyle w:val="PageNumber"/>
        <w:rFonts w:eastAsia="Arial Narrow" w:cs="Arial Narrow" w:ascii="Arial Narrow" w:hAnsi="Arial Narrow"/>
        <w:sz w:val="18"/>
        <w:szCs w:val="18"/>
      </w:rPr>
      <w:t xml:space="preserve"> of 5</w:t>
    </w:r>
  </w:p>
  <w:p>
    <w:pPr>
      <w:pStyle w:val="Footer"/>
      <w:jc w:val="center"/>
      <w:rPr/>
    </w:pPr>
    <w:r>
      <w:rPr>
        <w:rStyle w:val="PageNumber"/>
        <w:rFonts w:eastAsia="Arial Narrow" w:cs="Arial Narrow" w:ascii="Arial Narrow" w:hAnsi="Arial Narrow"/>
        <w:sz w:val="18"/>
        <w:szCs w:val="18"/>
      </w:rPr>
      <w:t>Annex A</w:t>
    </w:r>
  </w:p>
  <w:p>
    <w:pPr>
      <w:pStyle w:val="Footer"/>
      <w:rPr>
        <w:rStyle w:val="PageNumber"/>
        <w:rFonts w:ascii="Arial Narrow" w:hAnsi="Arial Narrow" w:eastAsia="Arial Narrow" w:cs="Arial Narrow"/>
      </w:rPr>
    </w:pPr>
    <w:r>
      <w:rPr>
        <w:rStyle w:val="PageNumber"/>
      </w:rPr>
      <w:t>Form Date: 9/99</w:t>
    </w:r>
  </w:p>
  <w:p>
    <w:pPr>
      <w:pStyle w:val="Footer"/>
      <w:rPr/>
    </w:pPr>
    <w:r>
      <w:rPr>
        <w:rStyle w:val="PageNumber"/>
      </w:rPr>
      <w:fldChar w:fldCharType="begin"/>
    </w:r>
    <w:r>
      <w:rPr>
        <w:rStyle w:val="PageNumber"/>
      </w:rPr>
      <w:instrText xml:space="preserve"> FILENAME \p </w:instrText>
    </w:r>
    <w:r>
      <w:rPr>
        <w:rStyle w:val="PageNumber"/>
      </w:rPr>
      <w:fldChar w:fldCharType="separate"/>
    </w:r>
    <w:r>
      <w:rPr>
        <w:rStyle w:val="PageNumber"/>
      </w:rPr>
      <w:t>/mnt/main-storage/datasets/enron-docs/doc/Annex_A-3568f141551577fa5f2f2506127def41aae01798fa533ea2c10b3b6b225151c5.doc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rFonts w:eastAsia="Arial Narrow" w:cs="Arial Narrow" w:ascii="Arial Narrow" w:hAnsi="Arial Narrow"/>
        <w:smallCaps/>
        <w:sz w:val="18"/>
        <w:szCs w:val="18"/>
      </w:rPr>
      <w:tab/>
    </w:r>
    <w:r>
      <w:rPr>
        <w:rFonts w:eastAsia="Arial Narrow" w:cs="Arial Narrow" w:ascii="Arial Narrow" w:hAnsi="Arial Narrow"/>
        <w:b/>
        <w:bCs/>
        <w:smallCaps/>
        <w:sz w:val="18"/>
        <w:szCs w:val="18"/>
      </w:rPr>
      <w:t>Deal No. ___________________________</w:t>
    </w:r>
  </w:p>
  <w:p>
    <w:pPr>
      <w:pStyle w:val="Header"/>
      <w:tabs>
        <w:tab w:val="clear" w:pos="4320"/>
        <w:tab w:val="clear" w:pos="8640"/>
        <w:tab w:val="right" w:pos="9720" w:leader="none"/>
      </w:tabs>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p>
    <w:pPr>
      <w:pStyle w:val="Header"/>
      <w:tabs>
        <w:tab w:val="clear" w:pos="4320"/>
        <w:tab w:val="clear" w:pos="8640"/>
        <w:tab w:val="right" w:pos="9720" w:leader="none"/>
      </w:tabs>
      <w:jc w:val="both"/>
      <w:rPr>
        <w:rFonts w:ascii="Arial Narrow" w:hAnsi="Arial Narrow" w:eastAsia="Arial Narrow" w:cs="Arial Narrow"/>
        <w:b/>
        <w:bCs/>
        <w:smallCaps/>
        <w:sz w:val="18"/>
        <w:szCs w:val="18"/>
      </w:rPr>
    </w:pPr>
    <w:r>
      <w:rPr>
        <w:rFonts w:eastAsia="Arial Narrow" w:cs="Arial Narrow" w:ascii="Arial Narrow" w:hAnsi="Arial Narrow"/>
        <w:b/>
        <w:bCs/>
        <w:smallCaps/>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szCs w:val="22"/>
    </w:rPr>
  </w:style>
  <w:style w:type="paragraph" w:styleId="Heading6">
    <w:name w:val="heading 6"/>
    <w:basedOn w:val="Normal"/>
    <w:next w:val="BodyText"/>
    <w:qFormat/>
    <w:pPr>
      <w:numPr>
        <w:ilvl w:val="5"/>
        <w:numId w:val="1"/>
      </w:numPr>
      <w:spacing w:before="0" w:after="120"/>
      <w:ind w:hanging="0" w:start="720" w:end="0"/>
      <w:jc w:val="both"/>
      <w:outlineLvl w:val="5"/>
    </w:pPr>
    <w:rPr>
      <w:sz w:val="22"/>
      <w:szCs w:val="22"/>
    </w:rPr>
  </w:style>
  <w:style w:type="character" w:styleId="DefaultParagraphFont">
    <w:name w:val="Default Paragraph Font"/>
    <w:qFormat/>
    <w:rPr/>
  </w:style>
  <w:style w:type="character" w:styleId="PageNumber">
    <w:name w:val="page number"/>
    <w:basedOn w:val="DefaultParagraphFont"/>
    <w:rPr>
      <w:sz w:val="14"/>
      <w:szCs w:val="1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Justified">
    <w:name w:val="Justified"/>
    <w:basedOn w:val="Normal"/>
    <w:next w:val="Heading2"/>
    <w:qFormat/>
    <w:pPr>
      <w:spacing w:before="0" w:after="120"/>
      <w:jc w:val="both"/>
    </w:pPr>
    <w:rPr>
      <w:sz w:val="22"/>
      <w:szCs w:val="22"/>
    </w:rPr>
  </w:style>
  <w:style w:type="paragraph" w:styleId="BodyTextIndent2">
    <w:name w:val="Body Text Indent 2"/>
    <w:basedOn w:val="Normal"/>
    <w:qFormat/>
    <w:pPr>
      <w:spacing w:before="120" w:after="0"/>
      <w:ind w:firstLine="144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1999-10-04T17:36:00Z</dcterms:created>
  <dc:creator>gfitzge</dc:creator>
  <dc:description/>
  <dc:language>en-CA</dc:language>
  <cp:lastModifiedBy>gfitzge</cp:lastModifiedBy>
  <dcterms:modified xsi:type="dcterms:W3CDTF">1999-10-04T17:37:00Z</dcterms:modified>
  <cp:revision>1</cp:revision>
  <dc:subject/>
  <dc:title>ANNEX A</dc:title>
</cp:coreProperties>
</file>