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General Terms and Conditions of Confirmation</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docGrid w:type="default" w:linePitch="360" w:charSpace="0"/>
        </w:sectPr>
      </w:pPr>
    </w:p>
    <w:p>
      <w:pPr>
        <w:pStyle w:val="BodyText3"/>
        <w:jc w:val="both"/>
        <w:rPr/>
      </w:pPr>
      <w:r>
        <w:rPr/>
        <w:t xml:space="preserve">This Annex A supplements, forms part of, and is incorporated into the Confirmation Letter to which this Annex A is attached.  </w:t>
      </w:r>
      <w:r>
        <w:rPr>
          <w:b/>
          <w:u w:val="single"/>
        </w:rPr>
        <w:t>Performance Obligations.</w:t>
      </w:r>
      <w:r>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numPr>
          <w:ilvl w:val="0"/>
          <w:numId w:val="2"/>
        </w:numPr>
        <w:tabs>
          <w:tab w:val="clear" w:pos="720"/>
          <w:tab w:val="left" w:pos="0" w:leader="none"/>
          <w:tab w:val="left" w:pos="270" w:leader="none"/>
        </w:tabs>
        <w:spacing w:before="0" w:after="0"/>
        <w:ind w:hanging="0" w:start="0" w:end="0"/>
        <w:rPr>
          <w:rFonts w:ascii="Arial Narrow" w:hAnsi="Arial Narrow" w:cs="Arial Narrow"/>
          <w:sz w:val="20"/>
        </w:rPr>
      </w:pPr>
      <w:r>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this Confirmation or any other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3"/>
        </w:numPr>
        <w:tabs>
          <w:tab w:val="clear" w:pos="720"/>
          <w:tab w:val="left" w:pos="0" w:leader="none"/>
          <w:tab w:val="left" w:pos="270" w:leader="none"/>
          <w:tab w:val="left" w:pos="630" w:leader="none"/>
        </w:tabs>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this Confirmation and all other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and any other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3"/>
        </w:numPr>
        <w:tabs>
          <w:tab w:val="clear" w:pos="720"/>
          <w:tab w:val="left" w:pos="0" w:leader="none"/>
          <w:tab w:val="left" w:pos="270" w:leader="none"/>
          <w:tab w:val="left" w:pos="540" w:leader="none"/>
          <w:tab w:val="left" w:pos="1080" w:leader="none"/>
        </w:tabs>
        <w:spacing w:before="0" w:after="0"/>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90" w:end="0"/>
        <w:jc w:val="both"/>
        <w:rPr/>
      </w:pPr>
      <w:r>
        <w:rPr>
          <w:rFonts w:cs="Arial Narrow" w:ascii="Arial Narrow" w:hAnsi="Arial Narrow"/>
          <w:bCs/>
          <w:sz w:val="20"/>
        </w:rPr>
        <w:t xml:space="preserve">4.  </w:t>
      </w: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5"/>
        </w:numPr>
        <w:tabs>
          <w:tab w:val="clear" w:pos="720"/>
          <w:tab w:val="left" w:pos="0" w:leader="none"/>
          <w:tab w:val="left" w:pos="270" w:leader="none"/>
          <w:tab w:val="left" w:pos="540" w:leader="none"/>
          <w:tab w:val="left" w:pos="1080" w:leader="none"/>
        </w:tabs>
        <w:spacing w:before="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this Confirmation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this Confirmation or any other agreement between the Parties may be offset against each other, set off or recouped therefrom.</w:t>
      </w:r>
    </w:p>
    <w:p>
      <w:pPr>
        <w:pStyle w:val="Heading2"/>
        <w:tabs>
          <w:tab w:val="clear" w:pos="720"/>
          <w:tab w:val="left" w:pos="270" w:leader="none"/>
          <w:tab w:val="left" w:pos="1080" w:leader="none"/>
        </w:tabs>
        <w:spacing w:before="0" w:after="0"/>
        <w:ind w:hanging="0" w:start="0"/>
        <w:rPr/>
      </w:pPr>
      <w:r>
        <w:rPr>
          <w:rFonts w:cs="Arial Narrow" w:ascii="Arial Narrow" w:hAnsi="Arial Narrow"/>
          <w:bCs/>
          <w:sz w:val="20"/>
        </w:rPr>
        <w:t xml:space="preserve">5.  </w:t>
      </w: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rFonts w:cs="Arial Narrow" w:ascii="Arial Narrow" w:hAnsi="Arial Narrow"/>
          <w:bCs/>
          <w:sz w:val="20"/>
        </w:rPr>
        <w:t xml:space="preserve">6.  </w:t>
      </w: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Confirmation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Narrow" w:hAnsi="Arial Narrow" w:cs="Arial Narrow"/>
          <w:sz w:val="20"/>
        </w:rPr>
      </w:pPr>
      <w:r>
        <w:rPr>
          <w:rFonts w:cs="Arial Narrow" w:ascii="Arial Narrow" w:hAnsi="Arial Narrow"/>
          <w:sz w:val="20"/>
        </w:rPr>
      </w:r>
    </w:p>
    <w:p>
      <w:pPr>
        <w:pStyle w:val="Normal"/>
        <w:numPr>
          <w:ilvl w:val="0"/>
          <w:numId w:val="4"/>
        </w:numPr>
        <w:tabs>
          <w:tab w:val="clear" w:pos="720"/>
          <w:tab w:val="left" w:pos="0" w:leader="none"/>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is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tabs>
          <w:tab w:val="clear" w:pos="720"/>
          <w:tab w:val="left" w:pos="270" w:leader="none"/>
          <w:tab w:val="left" w:pos="810" w:leader="none"/>
          <w:tab w:val="left" w:pos="1080" w:leader="none"/>
          <w:tab w:val="left" w:pos="1170" w:leader="none"/>
        </w:tabs>
        <w:jc w:val="both"/>
        <w:rPr/>
      </w:pPr>
      <w:r>
        <w:rPr>
          <w:rFonts w:cs="Arial Narrow" w:ascii="Arial Narrow" w:hAnsi="Arial Narrow"/>
          <w:bCs/>
          <w:sz w:val="20"/>
        </w:rPr>
        <w:t xml:space="preserve">8.  </w:t>
      </w: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this Annex A and each Transaction, the execution, delivery and performance of this Annex A and each Transaction are within its powers, have been duly authorized by all necessary action and do not violate any of the terms and conditions in its governing documents, any contracts to which it is a party or any law or regulation applicable to it, this Annex A and each Transaction when entered into in accordance with this Annex A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0" w:after="0"/>
        <w:rPr>
          <w:rFonts w:ascii="Arial Narrow" w:hAnsi="Arial Narrow" w:cs="Arial Narrow"/>
        </w:rPr>
      </w:pPr>
      <w:r>
        <w:rPr>
          <w:rFonts w:cs="Arial Narrow" w:ascii="Arial Narrow" w:hAnsi="Arial Narrow"/>
        </w:rPr>
        <w:t>(b) Each of the Parties acknowledges and agrees that it is entering into this Transaction in reliance upon the fact that all Physically Settled Power Transactions will form a single agreement and that the Parties have the rights and obligations set forth herein.  In the event of any inconsistency between this Confirmation Letter and its Annex A or the Master Agreement, the terms in the Confirmation Letter shall govern (except as to references to Annex A therein).</w:t>
      </w:r>
    </w:p>
    <w:p>
      <w:pPr>
        <w:pStyle w:val="BodyTextIndent2"/>
        <w:tabs>
          <w:tab w:val="clear" w:pos="720"/>
          <w:tab w:val="left" w:pos="270" w:leader="none"/>
          <w:tab w:val="left" w:pos="540" w:leader="none"/>
          <w:tab w:val="left" w:pos="1080" w:leader="none"/>
        </w:tabs>
        <w:spacing w:before="0" w:after="0"/>
        <w:ind w:hanging="0" w:end="0"/>
        <w:rPr>
          <w:rFonts w:ascii="Arial Narrow" w:hAnsi="Arial Narrow" w:cs="Arial Narrow"/>
        </w:rPr>
      </w:pPr>
      <w:r>
        <w:rPr>
          <w:rFonts w:cs="Arial Narrow" w:ascii="Arial Narrow" w:hAnsi="Arial Narrow"/>
        </w:rPr>
        <w:t>(c) The Confirmation shall (i) be governed by, interpreted and construed in accordance with the laws of the State of New York (excluding conflict of laws principles); (ii) neither Party shall have the power to assign or otherwise transfer all or any of its rights or obligations under this Confirmation without the prior written consent of the other Party, which consent may be withheld in its sole discretion; provided, however, either Party may transfer or assign this Confirmation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Confirmation; and provided, further, that if a Regulatory Event occurs, the Parties shall use their best efforts to reform this Confirmation in order to give effect to the original intention of the Parties.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this Confirmation or as may be subsequently designated by effective notice.  If either Party fails to pay any uncontested amounts when due, the aggrieved Party shall have the right to (i) suspend performance under this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this Transaction and any other Physically Settled Power Transaction) and/or (ii) exercise any remedy available at law, including under this Annex A, or in equity to enforce payment of such amount plus interest at the Interest Rate.  Any Party in default under this Confirmation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Confirmation.</w:t>
      </w:r>
    </w:p>
    <w:p>
      <w:pPr>
        <w:pStyle w:val="BodyTextIndent2"/>
        <w:numPr>
          <w:ilvl w:val="0"/>
          <w:numId w:val="3"/>
        </w:numPr>
        <w:tabs>
          <w:tab w:val="clear" w:pos="720"/>
          <w:tab w:val="left" w:pos="270" w:leader="none"/>
          <w:tab w:val="left" w:pos="540" w:leader="none"/>
          <w:tab w:val="left" w:pos="1080" w:leader="none"/>
        </w:tabs>
        <w:spacing w:before="0" w:after="0"/>
        <w:ind w:hanging="0" w:start="0" w:end="0"/>
        <w:rPr>
          <w:rFonts w:ascii="Arial Narrow" w:hAnsi="Arial Narrow" w:cs="Arial Narrow"/>
          <w:b/>
        </w:rPr>
      </w:pPr>
      <w:r>
        <w:rPr>
          <w:rFonts w:cs="Arial Narrow" w:ascii="Arial Narrow" w:hAnsi="Arial Narrow"/>
          <w:b/>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numPr>
          <w:ilvl w:val="0"/>
          <w:numId w:val="4"/>
        </w:numPr>
        <w:tabs>
          <w:tab w:val="clear" w:pos="720"/>
          <w:tab w:val="left" w:pos="0" w:leader="none"/>
          <w:tab w:val="left" w:pos="270" w:leader="none"/>
          <w:tab w:val="left" w:pos="810" w:leader="none"/>
          <w:tab w:val="left" w:pos="1080" w:leader="none"/>
          <w:tab w:val="left" w:pos="1170" w:leader="none"/>
        </w:tabs>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The following definitions and any terms defined internally in this Confirmation shall apply to this Confirmation and all notices and communications made pursuant to this Confirmation.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Heading2"/>
        <w:ind w:hanging="0" w:start="0"/>
        <w:rPr/>
      </w:pPr>
      <w:r>
        <w:rPr>
          <w:rFonts w:cs="Arial Narrow" w:ascii="Arial Narrow" w:hAnsi="Arial Narrow"/>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                   </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set forth in the Confirmation Letter, or in the case of Options, the Strike Price.</w:t>
      </w:r>
    </w:p>
    <w:p>
      <w:pPr>
        <w:pStyle w:val="Heading2"/>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w:t>
      </w:r>
      <w:r>
        <w:rPr>
          <w:rFonts w:cs="Arial Narrow" w:ascii="Arial Narrow" w:hAnsi="Arial Narrow"/>
          <w:sz w:val="20"/>
        </w:rPr>
        <w:t xml:space="preserve"> means the quantity of Energy that Seller agrees to sell and delivery, or cause to be delivered, to Buyer and that Buyer agrees to purchase and receive, or cause to be received, from Seller, pursuant to the terms of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ind w:hanging="0" w:start="0"/>
        <w:rPr/>
      </w:pPr>
      <w:r>
        <w:rPr>
          <w:rFonts w:cs="Arial Narrow" w:ascii="Arial Narrow" w:hAnsi="Arial Narrow"/>
          <w:i/>
          <w:sz w:val="20"/>
        </w:rPr>
        <w:t>“</w:t>
      </w:r>
      <w:r>
        <w:rPr>
          <w:rFonts w:cs="Arial Narrow" w:ascii="Arial Narrow" w:hAnsi="Arial Narrow"/>
          <w:i/>
          <w:sz w:val="20"/>
          <w:u w:val="single"/>
        </w:rPr>
        <w:t>Delivery Term</w:t>
      </w:r>
      <w:r>
        <w:rPr>
          <w:rFonts w:cs="Arial Narrow" w:ascii="Arial Narrow" w:hAnsi="Arial Narrow"/>
          <w:i/>
          <w:sz w:val="20"/>
        </w:rPr>
        <w:t>”</w:t>
      </w:r>
      <w:r>
        <w:rPr>
          <w:rFonts w:cs="Arial Narrow" w:ascii="Arial Narrow" w:hAnsi="Arial Narrow"/>
          <w:sz w:val="20"/>
        </w:rPr>
        <w:t xml:space="preserve"> means the period of time from the date physical delivery of the Energy is to commence to the date physical delivery is to terminate under a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iCs/>
          <w:sz w:val="20"/>
          <w:u w:val="single"/>
        </w:rPr>
        <w:t>Market Disruption Event</w:t>
      </w:r>
      <w:r>
        <w:rPr>
          <w:rFonts w:cs="Arial Narrow" w:ascii="Arial Narrow" w:hAnsi="Arial Narrow"/>
          <w:sz w:val="20"/>
        </w:rPr>
        <w:t xml:space="preserve">” means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however</w:t>
      </w:r>
      <w:r>
        <w:rPr>
          <w:rFonts w:cs="Arial Narrow" w:ascii="Arial Narrow" w:hAnsi="Arial Narrow"/>
          <w:sz w:val="20"/>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Seller, by taking the average of two or more dealer quotes.</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tabs>
          <w:tab w:val="clear" w:pos="720"/>
          <w:tab w:val="left" w:pos="270" w:leader="none"/>
        </w:tabs>
        <w:spacing w:before="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 xml:space="preserve">” </w:t>
      </w:r>
      <w:r>
        <w:rPr>
          <w:rFonts w:cs="Arial Narrow" w:ascii="Arial Narrow" w:hAnsi="Arial Narrow"/>
          <w:sz w:val="20"/>
        </w:rPr>
        <w:t>means any or all ad valorem, property, occupation, severance, generation, first use, conservation, Btu or energy, transmission, utility, gross receipts, priviledge, sales, use, consumption, excise, lease, transaction, and other taxes or, governmental charges, licenses, fees, permits and assessments, or increases therein, other than taxes based on net income or net worth.</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cs="Arial Narrow"/>
          <w:sz w:val="20"/>
        </w:rPr>
      </w:pPr>
      <w:r>
        <w:rPr>
          <w:rFonts w:cs="Arial Narrow" w:ascii="Arial Narrow" w:hAnsi="Arial Narrow"/>
          <w:sz w:val="20"/>
        </w:rPr>
      </w:r>
    </w:p>
    <w:p>
      <w:pPr>
        <w:pStyle w:val="Normal"/>
        <w:rPr>
          <w:rFonts w:ascii="Courier New" w:hAnsi="Courier New" w:cs="Courier New"/>
          <w:b/>
          <w:sz w:val="20"/>
        </w:rPr>
      </w:pPr>
      <w:r>
        <w:rPr>
          <w:rFonts w:cs="Courier New" w:ascii="Courier New" w:hAnsi="Courier New"/>
          <w:b/>
          <w:sz w:val="20"/>
        </w:rPr>
        <w:tab/>
        <w:tab/>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Courier New" w:hAnsi="Courier New" w:cs="Courier New"/>
          <w:b/>
          <w:sz w:val="20"/>
        </w:rPr>
      </w:pPr>
      <w:r>
        <w:rPr>
          <w:rFonts w:cs="Courier New" w:ascii="Courier New" w:hAnsi="Courier New"/>
          <w:b/>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Courier New" w:hAnsi="Courier New" w:cs="Courier New"/>
          <w:b/>
          <w:sz w:val="20"/>
        </w:rPr>
      </w:pPr>
      <w:r>
        <w:rPr>
          <w:rFonts w:cs="Courier New" w:ascii="Courier New" w:hAnsi="Courier New"/>
          <w:b/>
          <w:sz w:val="20"/>
        </w:rPr>
        <w:tab/>
        <w:tab/>
      </w:r>
    </w:p>
    <w:sectPr>
      <w:headerReference w:type="default" r:id="rId4"/>
      <w:footerReference w:type="default" r:id="rId5"/>
      <w:type w:val="nextPage"/>
      <w:pgSz w:w="12321" w:h="15840"/>
      <w:pgMar w:left="1152" w:right="171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jc w:val="center"/>
      <w:rPr>
        <w:rStyle w:val="PageNumber"/>
        <w:rFonts w:ascii="Arial Narrow" w:hAnsi="Arial Narrow" w:cs="Arial Narrow"/>
      </w:rPr>
    </w:pPr>
    <w:r>
      <w:rPr>
        <w:rStyle w:val="PageNumber"/>
        <w:rFonts w:cs="Arial Narrow" w:ascii="Arial Narrow" w:hAnsi="Arial Narrow"/>
        <w:sz w:val="18"/>
      </w:rPr>
      <w:t>Annex A</w:t>
    </w:r>
  </w:p>
  <w:p>
    <w:pPr>
      <w:pStyle w:val="Footer"/>
      <w:rPr/>
    </w:pPr>
    <w:r>
      <w:rPr>
        <w:rFonts w:eastAsia="Arial Narrow" w:cs="Arial Narrow" w:ascii="Arial Narrow" w:hAnsi="Arial Narrow"/>
        <w:sz w:val="18"/>
      </w:rPr>
      <w:t xml:space="preserve"> </w:t>
    </w:r>
    <w:r>
      <w:rPr>
        <w:rFonts w:cs="Arial Narrow" w:ascii="Arial Narrow" w:hAnsi="Arial Narrow"/>
        <w:sz w:val="18"/>
      </w:rPr>
      <w:t>Form Date 9/99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pPr>
    <w:r>
      <w:rPr>
        <w:sz w:val="22"/>
      </w:rPr>
      <w:t xml:space="preserve">                                                                                                                                     </w:t>
    </w:r>
    <w:r>
      <w:rPr>
        <w:sz w:val="22"/>
      </w:rPr>
      <w:t xml:space="preserve">Deal No. </w:t>
    </w:r>
    <w:r>
      <w:rPr>
        <w:sz w:val="22"/>
      </w:rPr>
      <w:fldChar w:fldCharType="begin"/>
    </w:r>
    <w:r>
      <w:rPr>
        <w:sz w:val="22"/>
      </w:rPr>
      <w:instrText xml:space="preserve"> TITLE </w:instrText>
    </w:r>
    <w:r>
      <w:rPr>
        <w:sz w:val="22"/>
      </w:rPr>
      <w:fldChar w:fldCharType="separate"/>
    </w:r>
    <w:r>
      <w:rPr>
        <w:sz w:val="22"/>
      </w:rPr>
      <w:tab/>
      <w:t xml:space="preserve"> </w:t>
    </w:r>
    <w:r>
      <w:rPr>
        <w:sz w:val="22"/>
      </w:rPr>
      <w:fldChar w:fldCharType="end"/>
    </w:r>
    <w:r>
      <w:rPr>
        <w:rFonts w:cs="Arial Narrow" w:ascii="Arial Narrow" w:hAnsi="Arial Narrow"/>
        <w:smallCaps/>
        <w:sz w:val="18"/>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t xml:space="preserve">   </w:t>
    </w:r>
  </w:p>
  <w:p>
    <w:pPr>
      <w:pStyle w:val="Header"/>
      <w:tabs>
        <w:tab w:val="clear" w:pos="8640"/>
        <w:tab w:val="center" w:pos="4320" w:leader="none"/>
        <w:tab w:val="right" w:pos="7200" w:leader="none"/>
        <w:tab w:val="left" w:pos="7470" w:leader="none"/>
      </w:tabs>
      <w:rPr/>
    </w:pPr>
    <w:r>
      <w:rPr/>
    </w:r>
  </w:p>
  <w:p>
    <w:pPr>
      <w:pStyle w:val="Header"/>
      <w:tabs>
        <w:tab w:val="clear" w:pos="8640"/>
        <w:tab w:val="center" w:pos="4320" w:leader="none"/>
        <w:tab w:val="right" w:pos="7200" w:leader="none"/>
        <w:tab w:val="left" w:pos="7470" w:leader="none"/>
      </w:tabs>
      <w:rPr/>
    </w:pPr>
    <w:r>
      <w:rPr/>
      <w:tab/>
    </w:r>
    <w:r>
      <w:rPr>
        <w:sz w:val="18"/>
      </w:rPr>
      <w:t xml:space="preserve">                                                                                                                                </w:t>
    </w:r>
    <w:r>
      <w:rPr>
        <w:rFonts w:cs="Courier New" w:ascii="Courier New" w:hAnsi="Courier New"/>
        <w:b/>
        <w:sz w:val="18"/>
      </w:rPr>
      <w:t xml:space="preserve">Deal No. </w:t>
    </w:r>
    <w:r>
      <w:rPr>
        <w:rFonts w:cs="Courier New" w:ascii="Courier New" w:hAnsi="Courier New"/>
        <w:b/>
        <w:sz w:val="18"/>
      </w:rPr>
      <w:fldChar w:fldCharType="begin"/>
    </w:r>
    <w:r>
      <w:rPr>
        <w:sz w:val="18"/>
        <w:b/>
        <w:rFonts w:cs="Courier New" w:ascii="Courier New" w:hAnsi="Courier New"/>
      </w:rPr>
      <w:instrText xml:space="preserve"> TITLE </w:instrText>
    </w:r>
    <w:r>
      <w:rPr>
        <w:sz w:val="18"/>
        <w:b/>
        <w:rFonts w:cs="Courier New" w:ascii="Courier New" w:hAnsi="Courier New"/>
      </w:rPr>
      <w:fldChar w:fldCharType="separate"/>
    </w:r>
    <w:r>
      <w:rPr>
        <w:sz w:val="18"/>
        <w:b/>
        <w:rFonts w:cs="Courier New" w:ascii="Courier New" w:hAnsi="Courier New"/>
      </w:rPr>
      <w:tab/>
      <w:t xml:space="preserve"> </w:t>
    </w:r>
    <w:r>
      <w:rPr>
        <w:sz w:val="18"/>
        <w:b/>
        <w:rFonts w:cs="Courier New" w:ascii="Courier New" w:hAnsi="Courier Ne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2"/>
      <w:numFmt w:val="lowerLetter"/>
      <w:lvlText w:val="(%1)"/>
      <w:lvlJc w:val="start"/>
      <w:pPr>
        <w:tabs>
          <w:tab w:val="num" w:pos="360"/>
        </w:tabs>
        <w:ind w:start="360" w:hanging="360"/>
      </w:pPr>
      <w:rPr/>
    </w:lvl>
  </w:abstractNum>
  <w:abstractNum w:abstractNumId="4">
    <w:lvl w:ilvl="0">
      <w:start w:val="7"/>
      <w:numFmt w:val="decimal"/>
      <w:lvlText w:val="%1."/>
      <w:lvlJc w:val="start"/>
      <w:pPr>
        <w:tabs>
          <w:tab w:val="num" w:pos="360"/>
        </w:tabs>
        <w:ind w:start="360" w:hanging="360"/>
      </w:pPr>
    </w:lvl>
  </w:abstractNum>
  <w:abstractNum w:abstractNumId="5">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outlineLvl w:val="6"/>
    </w:pPr>
    <w:rPr>
      <w:b/>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362" w:leader="none"/>
      </w:tabs>
    </w:pPr>
    <w:rPr>
      <w:rFonts w:ascii="Arial" w:hAnsi="Arial" w:cs="Arial"/>
      <w:i/>
      <w:sz w:val="20"/>
    </w:rPr>
  </w:style>
  <w:style w:type="paragraph" w:styleId="Justified">
    <w:name w:val="Justified"/>
    <w:basedOn w:val="Normal"/>
    <w:next w:val="Heading2"/>
    <w:qFormat/>
    <w:pPr>
      <w:spacing w:before="0" w:after="120"/>
      <w:jc w:val="both"/>
    </w:pPr>
    <w:rPr>
      <w:sz w:val="22"/>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2001-05-30T16:28:00Z</dcterms:created>
  <dc:creator>appinst</dc:creator>
  <dc:description/>
  <dc:language>en-CA</dc:language>
  <cp:lastModifiedBy>Marcus Nettelton</cp:lastModifiedBy>
  <cp:lastPrinted>2001-05-30T11:28:00Z</cp:lastPrinted>
  <dcterms:modified xsi:type="dcterms:W3CDTF">2001-05-30T16:28:00Z</dcterms:modified>
  <cp:revision>2</cp:revision>
  <dc:subject/>
  <dc:title>	 </dc:title>
</cp:coreProperties>
</file>