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rPr>
      </w:pPr>
      <w:r>
        <w:rPr>
          <w:sz w:val="20"/>
        </w:rPr>
        <w:t>Memorandum</w:t>
      </w:r>
    </w:p>
    <w:p>
      <w:pPr>
        <w:pStyle w:val="Normal"/>
        <w:rPr>
          <w:sz w:val="20"/>
        </w:rPr>
      </w:pPr>
      <w:r>
        <w:rPr>
          <w:sz w:val="20"/>
        </w:rPr>
      </w:r>
    </w:p>
    <w:p>
      <w:pPr>
        <w:pStyle w:val="BodyTextIndent"/>
        <w:rPr>
          <w:sz w:val="20"/>
        </w:rPr>
      </w:pPr>
      <w:r>
        <w:rPr>
          <w:sz w:val="20"/>
        </w:rPr>
        <w:t>To:</w:t>
        <w:tab/>
        <w:t>Karen Denne, Paul Kaufman, Steve Kean, Harry Kingerski, Sue Mara, Sandi McCubbin, Mark Palmer, Rick Shapiro, Jim Steffes,</w:t>
      </w:r>
    </w:p>
    <w:p>
      <w:pPr>
        <w:pStyle w:val="Normal"/>
        <w:ind w:hanging="720" w:start="720" w:end="0"/>
        <w:rPr>
          <w:sz w:val="20"/>
        </w:rPr>
      </w:pPr>
      <w:r>
        <w:rPr>
          <w:sz w:val="20"/>
        </w:rPr>
      </w:r>
    </w:p>
    <w:p>
      <w:pPr>
        <w:pStyle w:val="Normal"/>
        <w:ind w:hanging="720" w:start="720" w:end="0"/>
        <w:rPr>
          <w:sz w:val="20"/>
        </w:rPr>
      </w:pPr>
      <w:r>
        <w:rPr>
          <w:sz w:val="20"/>
        </w:rPr>
        <w:t>From:</w:t>
        <w:tab/>
        <w:t>Jeff Dasovich</w:t>
      </w:r>
    </w:p>
    <w:p>
      <w:pPr>
        <w:pStyle w:val="Normal"/>
        <w:ind w:hanging="720" w:start="720" w:end="0"/>
        <w:rPr>
          <w:sz w:val="20"/>
        </w:rPr>
      </w:pPr>
      <w:r>
        <w:rPr>
          <w:sz w:val="20"/>
        </w:rPr>
      </w:r>
    </w:p>
    <w:p>
      <w:pPr>
        <w:pStyle w:val="Normal"/>
        <w:ind w:hanging="720" w:start="720" w:end="0"/>
        <w:rPr>
          <w:sz w:val="20"/>
        </w:rPr>
      </w:pPr>
      <w:r>
        <w:rPr>
          <w:sz w:val="20"/>
        </w:rPr>
        <w:t>Date:</w:t>
        <w:tab/>
        <w:t>January 7, 2001</w:t>
      </w:r>
    </w:p>
    <w:p>
      <w:pPr>
        <w:pStyle w:val="Normal"/>
        <w:ind w:hanging="720" w:start="720" w:end="0"/>
        <w:rPr>
          <w:sz w:val="20"/>
        </w:rPr>
      </w:pPr>
      <w:r>
        <w:rPr>
          <w:sz w:val="20"/>
        </w:rPr>
      </w:r>
    </w:p>
    <w:p>
      <w:pPr>
        <w:pStyle w:val="Normal"/>
        <w:ind w:hanging="720" w:start="720" w:end="0"/>
        <w:rPr/>
      </w:pPr>
      <w:r>
        <w:rPr>
          <w:sz w:val="20"/>
        </w:rPr>
        <w:t>Re:</w:t>
        <w:tab/>
        <w:t>Proposal Issued Friday, January 5</w:t>
      </w:r>
      <w:r>
        <w:rPr>
          <w:sz w:val="20"/>
          <w:vertAlign w:val="superscript"/>
        </w:rPr>
        <w:t>th</w:t>
      </w:r>
      <w:r>
        <w:rPr>
          <w:sz w:val="20"/>
        </w:rPr>
        <w:t>, by the State Treasurer of California in Response to California’s Electricity Problems and How We Might React to It</w:t>
      </w:r>
    </w:p>
    <w:p>
      <w:pPr>
        <w:pStyle w:val="Normal"/>
        <w:pBdr>
          <w:top w:val="single" w:sz="4" w:space="1" w:color="000000"/>
        </w:pBdr>
        <w:ind w:firstLine="720" w:end="0"/>
        <w:rPr>
          <w:sz w:val="20"/>
        </w:rPr>
      </w:pPr>
      <w:r>
        <w:rPr>
          <w:sz w:val="20"/>
        </w:rPr>
      </w:r>
    </w:p>
    <w:p>
      <w:pPr>
        <w:pStyle w:val="Normal"/>
        <w:ind w:firstLine="720" w:end="0"/>
        <w:rPr/>
      </w:pPr>
      <w:r>
        <w:rPr>
          <w:sz w:val="20"/>
        </w:rPr>
        <w:t>As part of our efforts to both respond to and manage the events surrounding California’s electricity crunch, Paul and Sandi will be meeting with state legislators and their staff between Monday, January 8</w:t>
      </w:r>
      <w:r>
        <w:rPr>
          <w:sz w:val="20"/>
          <w:vertAlign w:val="superscript"/>
        </w:rPr>
        <w:t>th</w:t>
      </w:r>
      <w:r>
        <w:rPr>
          <w:sz w:val="20"/>
        </w:rPr>
        <w:t xml:space="preserve"> and Wednesday, January 10</w:t>
      </w:r>
      <w:r>
        <w:rPr>
          <w:sz w:val="20"/>
          <w:vertAlign w:val="superscript"/>
        </w:rPr>
        <w:t>th</w:t>
      </w:r>
      <w:r>
        <w:rPr>
          <w:sz w:val="20"/>
        </w:rPr>
        <w:t>.  The goal of the meetings is to cull information and communicate the key features of our recommended solutions.</w:t>
      </w:r>
    </w:p>
    <w:p>
      <w:pPr>
        <w:pStyle w:val="Normal"/>
        <w:ind w:firstLine="720" w:end="0"/>
        <w:rPr>
          <w:sz w:val="20"/>
        </w:rPr>
      </w:pPr>
      <w:r>
        <w:rPr>
          <w:sz w:val="20"/>
        </w:rPr>
      </w:r>
    </w:p>
    <w:p>
      <w:pPr>
        <w:pStyle w:val="Normal"/>
        <w:ind w:firstLine="720" w:end="0"/>
        <w:rPr>
          <w:sz w:val="20"/>
        </w:rPr>
      </w:pPr>
      <w:r>
        <w:rPr>
          <w:sz w:val="20"/>
        </w:rPr>
        <w:t>Last Friday, California’s Treasurer, Phil Angelides, released publicly the first comprehensive response to the crisis.  The proposal would require legislation.  Though possible, it seems unlikely that Angelides—a staunch Democrat and part of the political hierarchy in California—developed and issued his proposal without the knowledge of or any input from the Governor.  The proposal seems targeted at the liberal wing of the party, which has called for a “state takeover” of the industry in response to the crisis.  The Governor’s state of the state address on Monday evening may shed additional light on the extent to which he supports the proposal’s various components.  On the other hand, the proposal might be serving as a “trial balloon,” in which case Davis may sit back and wait to see how the proposal fares in the polls.</w:t>
      </w:r>
    </w:p>
    <w:p>
      <w:pPr>
        <w:pStyle w:val="Normal"/>
        <w:ind w:firstLine="720" w:end="0"/>
        <w:rPr>
          <w:sz w:val="20"/>
        </w:rPr>
      </w:pPr>
      <w:r>
        <w:rPr>
          <w:sz w:val="20"/>
        </w:rPr>
      </w:r>
    </w:p>
    <w:p>
      <w:pPr>
        <w:pStyle w:val="Normal"/>
        <w:ind w:firstLine="720" w:end="0"/>
        <w:rPr>
          <w:sz w:val="20"/>
        </w:rPr>
      </w:pPr>
      <w:r>
        <w:rPr>
          <w:sz w:val="20"/>
        </w:rPr>
        <w:t xml:space="preserve">The proposal has already received considerable press coverage, and legislators and their staff are likely to ask Paul and Sandi about our reaction to the proposal during their meetings.  I’ve identified in this memo the key features of Angelides’ proposal and offer a suggested short-term response (should we decide to have one).  </w:t>
      </w:r>
    </w:p>
    <w:p>
      <w:pPr>
        <w:pStyle w:val="Normal"/>
        <w:rPr>
          <w:sz w:val="20"/>
        </w:rPr>
      </w:pPr>
      <w:r>
        <w:rPr>
          <w:sz w:val="20"/>
        </w:rPr>
      </w:r>
    </w:p>
    <w:p>
      <w:pPr>
        <w:pStyle w:val="Normal"/>
        <w:ind w:firstLine="720" w:end="0"/>
        <w:rPr>
          <w:sz w:val="20"/>
        </w:rPr>
      </w:pPr>
      <w:r>
        <w:rPr>
          <w:b/>
          <w:bCs/>
          <w:i/>
          <w:iCs/>
          <w:sz w:val="20"/>
        </w:rPr>
        <w:t xml:space="preserve"> </w:t>
      </w:r>
      <w:r>
        <w:rPr>
          <w:b/>
          <w:bCs/>
          <w:i/>
          <w:iCs/>
          <w:sz w:val="20"/>
        </w:rPr>
        <w:t>I would suggest that we convene a brief conference call on Monday, January 8</w:t>
      </w:r>
      <w:r>
        <w:rPr>
          <w:b/>
          <w:bCs/>
          <w:i/>
          <w:iCs/>
          <w:sz w:val="20"/>
          <w:vertAlign w:val="superscript"/>
        </w:rPr>
        <w:t>th</w:t>
      </w:r>
      <w:r>
        <w:rPr>
          <w:b/>
          <w:bCs/>
          <w:i/>
          <w:iCs/>
          <w:sz w:val="20"/>
        </w:rPr>
        <w:t>, at 12:00 P.M. PST to decide how we’d like to respond—if at all—to Angelides’ proposal.</w:t>
      </w:r>
    </w:p>
    <w:p>
      <w:pPr>
        <w:pStyle w:val="Normal"/>
        <w:ind w:firstLine="720" w:end="0"/>
        <w:rPr>
          <w:sz w:val="20"/>
        </w:rPr>
      </w:pPr>
      <w:r>
        <w:rPr>
          <w:sz w:val="20"/>
        </w:rPr>
      </w:r>
    </w:p>
    <w:p>
      <w:pPr>
        <w:pStyle w:val="BodyTextIndent2"/>
        <w:ind w:hanging="0" w:end="0"/>
        <w:rPr>
          <w:sz w:val="20"/>
        </w:rPr>
      </w:pPr>
      <w:r>
        <w:rPr>
          <w:sz w:val="20"/>
        </w:rPr>
        <w:t>If we decide to respond immediately, I suggest that we:</w:t>
      </w:r>
    </w:p>
    <w:p>
      <w:pPr>
        <w:pStyle w:val="BodyTextIndent2"/>
        <w:rPr>
          <w:sz w:val="20"/>
        </w:rPr>
      </w:pPr>
      <w:r>
        <w:rPr>
          <w:sz w:val="20"/>
        </w:rPr>
      </w:r>
    </w:p>
    <w:p>
      <w:pPr>
        <w:pStyle w:val="BodyTextIndent2"/>
        <w:numPr>
          <w:ilvl w:val="0"/>
          <w:numId w:val="5"/>
        </w:numPr>
        <w:tabs>
          <w:tab w:val="clear" w:pos="720"/>
        </w:tabs>
        <w:ind w:hanging="360" w:start="720" w:end="0"/>
        <w:rPr>
          <w:sz w:val="20"/>
        </w:rPr>
      </w:pPr>
      <w:r>
        <w:rPr>
          <w:sz w:val="20"/>
        </w:rPr>
        <w:t>highlight the positive features of the plan—and there are some; but,</w:t>
      </w:r>
    </w:p>
    <w:p>
      <w:pPr>
        <w:pStyle w:val="BodyTextIndent2"/>
        <w:ind w:hanging="0" w:end="0"/>
        <w:rPr>
          <w:sz w:val="20"/>
        </w:rPr>
      </w:pPr>
      <w:r>
        <w:rPr>
          <w:sz w:val="20"/>
        </w:rPr>
      </w:r>
    </w:p>
    <w:p>
      <w:pPr>
        <w:pStyle w:val="BodyTextIndent2"/>
        <w:numPr>
          <w:ilvl w:val="0"/>
          <w:numId w:val="5"/>
        </w:numPr>
        <w:tabs>
          <w:tab w:val="clear" w:pos="720"/>
        </w:tabs>
        <w:ind w:hanging="360" w:start="720" w:end="0"/>
        <w:rPr>
          <w:sz w:val="20"/>
        </w:rPr>
      </w:pPr>
      <w:r>
        <w:rPr>
          <w:sz w:val="20"/>
        </w:rPr>
        <w:t>point out that the core of the proposal—the “state takeover” feature—is radical and extreme, embraces an approach that has been tried in the past and failed miserably, and must be scrapped.</w:t>
      </w:r>
    </w:p>
    <w:p>
      <w:pPr>
        <w:pStyle w:val="Normal"/>
        <w:rPr>
          <w:sz w:val="20"/>
        </w:rPr>
      </w:pPr>
      <w:r>
        <w:rPr>
          <w:sz w:val="20"/>
        </w:rPr>
      </w:r>
    </w:p>
    <w:p>
      <w:pPr>
        <w:pStyle w:val="Normal"/>
        <w:ind w:firstLine="720" w:end="0"/>
        <w:rPr>
          <w:sz w:val="20"/>
        </w:rPr>
      </w:pPr>
      <w:r>
        <w:rPr>
          <w:sz w:val="20"/>
        </w:rPr>
        <w:t>We may want to hold off making any response until we have a chance to hear what the Governor says Monday evening.</w:t>
      </w:r>
      <w:r>
        <w:br w:type="page"/>
      </w:r>
    </w:p>
    <w:p>
      <w:pPr>
        <w:pStyle w:val="Normal"/>
        <w:rPr>
          <w:b/>
          <w:bCs/>
          <w:i/>
          <w:i/>
          <w:iCs/>
          <w:sz w:val="20"/>
        </w:rPr>
      </w:pPr>
      <w:r>
        <w:rPr>
          <w:b/>
          <w:bCs/>
          <w:i/>
          <w:iCs/>
          <w:sz w:val="20"/>
        </w:rPr>
        <w:t>Angelides’ Proposal</w:t>
      </w:r>
    </w:p>
    <w:p>
      <w:pPr>
        <w:pStyle w:val="Heading3"/>
        <w:ind w:hanging="0" w:start="0"/>
        <w:rPr>
          <w:sz w:val="20"/>
        </w:rPr>
      </w:pPr>
      <w:r>
        <w:rPr>
          <w:sz w:val="20"/>
        </w:rPr>
        <w:t>Overview</w:t>
      </w:r>
    </w:p>
    <w:p>
      <w:pPr>
        <w:pStyle w:val="BodyTextIndent3"/>
        <w:rPr>
          <w:sz w:val="20"/>
        </w:rPr>
      </w:pPr>
      <w:r>
        <w:rPr>
          <w:sz w:val="20"/>
        </w:rPr>
        <w:t xml:space="preserve">In general, the core of Angelides’ proposal is swift and dramatic re-entry by the State into California’s electric industry.  Specifically, Angelides proposes that the State purchase the IOU’s transmission assets and finance, and in some cases, develop and operate power plants.  The proposal would create a new state power authority—“The California Consumer Power and Conservation Financing Authority.”  The authority would replace the ISO and would operate, maintain and invest in the transmission grid.  The authority would also have right of first refusal to all power from plants financed by the authority, at cost-based rates.  (By all accounts, David Freeman has played an active roll in developing the concept and has marketed himself as the new authority’s president in charge of operations.)  Finally, the authority would finance low-interest loans and tax credits for conservation and renewables. </w:t>
      </w:r>
    </w:p>
    <w:p>
      <w:pPr>
        <w:pStyle w:val="Normal"/>
        <w:ind w:firstLine="720" w:end="0"/>
        <w:rPr>
          <w:sz w:val="20"/>
        </w:rPr>
      </w:pPr>
      <w:r>
        <w:rPr>
          <w:sz w:val="20"/>
        </w:rPr>
      </w:r>
    </w:p>
    <w:p>
      <w:pPr>
        <w:pStyle w:val="Heading2"/>
        <w:ind w:hanging="0" w:start="0"/>
        <w:rPr>
          <w:b w:val="false"/>
          <w:bCs w:val="false"/>
          <w:i w:val="false"/>
          <w:i w:val="false"/>
          <w:iCs w:val="false"/>
          <w:sz w:val="20"/>
        </w:rPr>
      </w:pPr>
      <w:r>
        <w:rPr>
          <w:b w:val="false"/>
          <w:bCs w:val="false"/>
          <w:sz w:val="20"/>
        </w:rPr>
        <w:t>The specifics</w:t>
      </w:r>
    </w:p>
    <w:p>
      <w:pPr>
        <w:pStyle w:val="BodyText"/>
        <w:rPr/>
      </w:pPr>
      <w:r>
        <w:rPr/>
        <w:tab/>
        <w:t>The proposal’s goal is to develop supply and demand-side resources to achieve a 15% reserve over five years.  The proposal has three basic components:</w:t>
      </w:r>
    </w:p>
    <w:p>
      <w:pPr>
        <w:pStyle w:val="Normal"/>
        <w:rPr>
          <w:sz w:val="20"/>
        </w:rPr>
      </w:pPr>
      <w:r>
        <w:rPr>
          <w:sz w:val="20"/>
        </w:rPr>
      </w:r>
    </w:p>
    <w:p>
      <w:pPr>
        <w:pStyle w:val="Normal"/>
        <w:numPr>
          <w:ilvl w:val="0"/>
          <w:numId w:val="4"/>
        </w:numPr>
        <w:tabs>
          <w:tab w:val="clear" w:pos="720"/>
        </w:tabs>
        <w:rPr>
          <w:sz w:val="20"/>
        </w:rPr>
      </w:pPr>
      <w:r>
        <w:rPr>
          <w:sz w:val="20"/>
        </w:rPr>
        <w:t>Finance, and in some cases own and operate, new power plants.</w:t>
      </w:r>
    </w:p>
    <w:p>
      <w:pPr>
        <w:pStyle w:val="Normal"/>
        <w:numPr>
          <w:ilvl w:val="0"/>
          <w:numId w:val="4"/>
        </w:numPr>
        <w:tabs>
          <w:tab w:val="clear" w:pos="720"/>
        </w:tabs>
        <w:rPr>
          <w:sz w:val="20"/>
        </w:rPr>
      </w:pPr>
      <w:r>
        <w:rPr>
          <w:sz w:val="20"/>
        </w:rPr>
        <w:t>Purchase the IOUs’ transmission assets, and operate, maintain and finance the expansion of those transmission assets.</w:t>
      </w:r>
    </w:p>
    <w:p>
      <w:pPr>
        <w:pStyle w:val="Normal"/>
        <w:numPr>
          <w:ilvl w:val="0"/>
          <w:numId w:val="4"/>
        </w:numPr>
        <w:tabs>
          <w:tab w:val="clear" w:pos="720"/>
        </w:tabs>
        <w:rPr>
          <w:sz w:val="20"/>
        </w:rPr>
      </w:pPr>
      <w:r>
        <w:rPr>
          <w:sz w:val="20"/>
        </w:rPr>
        <w:t>Provide low-interest loans and tax credits for energy conservation and renewable generation.</w:t>
      </w:r>
    </w:p>
    <w:p>
      <w:pPr>
        <w:pStyle w:val="Normal"/>
        <w:rPr>
          <w:sz w:val="20"/>
        </w:rPr>
      </w:pPr>
      <w:r>
        <w:rPr>
          <w:sz w:val="20"/>
        </w:rPr>
      </w:r>
    </w:p>
    <w:p>
      <w:pPr>
        <w:pStyle w:val="Normal"/>
        <w:ind w:firstLine="720" w:end="0"/>
        <w:rPr>
          <w:sz w:val="20"/>
        </w:rPr>
      </w:pPr>
      <w:r>
        <w:rPr>
          <w:sz w:val="20"/>
        </w:rPr>
        <w:t>The authority would have seven members:  3 appointed by the Governor, one by the Senate, and one by the Assembly.  The Chair of the Energy Commission and the State Treasurer would also be members.  The authorities’ seven board members would appoint the President/Executive Director.</w:t>
      </w:r>
    </w:p>
    <w:p>
      <w:pPr>
        <w:pStyle w:val="Normal"/>
        <w:ind w:firstLine="360" w:end="0"/>
        <w:rPr>
          <w:sz w:val="20"/>
        </w:rPr>
      </w:pPr>
      <w:r>
        <w:rPr>
          <w:sz w:val="20"/>
        </w:rPr>
      </w:r>
    </w:p>
    <w:p>
      <w:pPr>
        <w:pStyle w:val="Normal"/>
        <w:rPr>
          <w:sz w:val="20"/>
        </w:rPr>
      </w:pPr>
      <w:r>
        <w:rPr>
          <w:sz w:val="20"/>
        </w:rPr>
        <w:tab/>
        <w:t>The authority would be funded through 1) an authorization of up to $10 billion in bonds backed by “utilities, customers or other loan recipients,” 2) the creation of a leveraged, revolving loan fund for conservation and renewables, and 3) “contributions/equity investments in partnership with other public, nor-for-profit and private entities.”  The authority would be jump-started with State General Fund monies.</w:t>
      </w:r>
    </w:p>
    <w:p>
      <w:pPr>
        <w:pStyle w:val="Normal"/>
        <w:rPr>
          <w:sz w:val="20"/>
        </w:rPr>
      </w:pPr>
      <w:r>
        <w:rPr>
          <w:sz w:val="20"/>
        </w:rPr>
      </w:r>
    </w:p>
    <w:p>
      <w:pPr>
        <w:pStyle w:val="Heading4"/>
        <w:ind w:hanging="0" w:start="0"/>
        <w:rPr>
          <w:sz w:val="20"/>
        </w:rPr>
      </w:pPr>
      <w:r>
        <w:rPr>
          <w:sz w:val="20"/>
        </w:rPr>
        <w:tab/>
        <w:t>Generation</w:t>
      </w:r>
    </w:p>
    <w:p>
      <w:pPr>
        <w:pStyle w:val="Normal"/>
        <w:numPr>
          <w:ilvl w:val="0"/>
          <w:numId w:val="2"/>
        </w:numPr>
        <w:tabs>
          <w:tab w:val="clear" w:pos="720"/>
        </w:tabs>
        <w:rPr>
          <w:sz w:val="20"/>
        </w:rPr>
      </w:pPr>
      <w:r>
        <w:rPr>
          <w:sz w:val="20"/>
        </w:rPr>
        <w:t>Finance development of new generation and/or the re-power/expansion of existing generation.</w:t>
      </w:r>
    </w:p>
    <w:p>
      <w:pPr>
        <w:pStyle w:val="Normal"/>
        <w:numPr>
          <w:ilvl w:val="0"/>
          <w:numId w:val="2"/>
        </w:numPr>
        <w:tabs>
          <w:tab w:val="clear" w:pos="720"/>
        </w:tabs>
        <w:rPr>
          <w:sz w:val="20"/>
        </w:rPr>
      </w:pPr>
      <w:r>
        <w:rPr>
          <w:sz w:val="20"/>
        </w:rPr>
        <w:t>The authority would develop generation 1) on its own, 2) through contracts with private and public parties and/or 3) through joint ventures with IOUs, munis and private firms.</w:t>
      </w:r>
    </w:p>
    <w:p>
      <w:pPr>
        <w:pStyle w:val="Normal"/>
        <w:numPr>
          <w:ilvl w:val="0"/>
          <w:numId w:val="2"/>
        </w:numPr>
        <w:tabs>
          <w:tab w:val="clear" w:pos="720"/>
        </w:tabs>
        <w:rPr>
          <w:sz w:val="20"/>
        </w:rPr>
      </w:pPr>
      <w:r>
        <w:rPr>
          <w:sz w:val="20"/>
        </w:rPr>
        <w:t xml:space="preserve">Right of first refusal to purchase power at cost-based rates from plants that it finances. </w:t>
      </w:r>
    </w:p>
    <w:p>
      <w:pPr>
        <w:pStyle w:val="Normal"/>
        <w:numPr>
          <w:ilvl w:val="0"/>
          <w:numId w:val="2"/>
        </w:numPr>
        <w:tabs>
          <w:tab w:val="clear" w:pos="720"/>
        </w:tabs>
        <w:rPr>
          <w:sz w:val="20"/>
        </w:rPr>
      </w:pPr>
      <w:r>
        <w:rPr>
          <w:sz w:val="20"/>
        </w:rPr>
        <w:t>Includes a specific program targeted at financing utility-sponsored peaking capacity every year for three years equal to five percent of the utilities’ peak demand.  One percent must come from “green” power.</w:t>
      </w:r>
    </w:p>
    <w:p>
      <w:pPr>
        <w:pStyle w:val="Normal"/>
        <w:numPr>
          <w:ilvl w:val="0"/>
          <w:numId w:val="2"/>
        </w:numPr>
        <w:tabs>
          <w:tab w:val="clear" w:pos="720"/>
        </w:tabs>
        <w:rPr>
          <w:sz w:val="20"/>
        </w:rPr>
      </w:pPr>
      <w:r>
        <w:rPr>
          <w:sz w:val="20"/>
        </w:rPr>
        <w:t>Proposes to exempt from siting regulations expansion of existing plants if the plant proponent can demonstrate increased output, efficiency and air quality.</w:t>
      </w:r>
    </w:p>
    <w:p>
      <w:pPr>
        <w:pStyle w:val="Normal"/>
        <w:numPr>
          <w:ilvl w:val="0"/>
          <w:numId w:val="2"/>
        </w:numPr>
        <w:tabs>
          <w:tab w:val="clear" w:pos="720"/>
        </w:tabs>
        <w:rPr>
          <w:sz w:val="20"/>
        </w:rPr>
      </w:pPr>
      <w:r>
        <w:rPr>
          <w:sz w:val="20"/>
        </w:rPr>
        <w:t>Also includes plant to encourage distributed generation and calls for end of “stand-by” rates.</w:t>
      </w:r>
    </w:p>
    <w:p>
      <w:pPr>
        <w:pStyle w:val="Normal"/>
        <w:rPr>
          <w:sz w:val="20"/>
        </w:rPr>
      </w:pPr>
      <w:r>
        <w:rPr>
          <w:sz w:val="20"/>
        </w:rPr>
      </w:r>
    </w:p>
    <w:p>
      <w:pPr>
        <w:pStyle w:val="Heading5"/>
        <w:rPr>
          <w:sz w:val="20"/>
        </w:rPr>
      </w:pPr>
      <w:r>
        <w:rPr>
          <w:sz w:val="20"/>
        </w:rPr>
        <w:t>Transmission</w:t>
      </w:r>
    </w:p>
    <w:p>
      <w:pPr>
        <w:pStyle w:val="Normal"/>
        <w:numPr>
          <w:ilvl w:val="0"/>
          <w:numId w:val="2"/>
        </w:numPr>
        <w:tabs>
          <w:tab w:val="clear" w:pos="720"/>
        </w:tabs>
        <w:rPr>
          <w:sz w:val="20"/>
        </w:rPr>
      </w:pPr>
      <w:r>
        <w:rPr>
          <w:sz w:val="20"/>
        </w:rPr>
        <w:t>Purchase the IOUs transmission assets.</w:t>
      </w:r>
    </w:p>
    <w:p>
      <w:pPr>
        <w:pStyle w:val="Normal"/>
        <w:numPr>
          <w:ilvl w:val="0"/>
          <w:numId w:val="2"/>
        </w:numPr>
        <w:tabs>
          <w:tab w:val="clear" w:pos="720"/>
        </w:tabs>
        <w:rPr>
          <w:sz w:val="20"/>
        </w:rPr>
      </w:pPr>
      <w:r>
        <w:rPr>
          <w:sz w:val="20"/>
        </w:rPr>
        <w:t>Operate, maintain and finance expansion of the transmission network.</w:t>
      </w:r>
    </w:p>
    <w:p>
      <w:pPr>
        <w:pStyle w:val="Normal"/>
        <w:numPr>
          <w:ilvl w:val="0"/>
          <w:numId w:val="2"/>
        </w:numPr>
        <w:tabs>
          <w:tab w:val="clear" w:pos="720"/>
        </w:tabs>
        <w:rPr>
          <w:sz w:val="20"/>
        </w:rPr>
      </w:pPr>
      <w:r>
        <w:rPr>
          <w:sz w:val="20"/>
        </w:rPr>
        <w:t>Abolish the ISO; authority assumes all ISO duties.</w:t>
      </w:r>
    </w:p>
    <w:p>
      <w:pPr>
        <w:pStyle w:val="Normal"/>
        <w:numPr>
          <w:ilvl w:val="0"/>
          <w:numId w:val="2"/>
        </w:numPr>
        <w:tabs>
          <w:tab w:val="clear" w:pos="720"/>
        </w:tabs>
        <w:rPr>
          <w:sz w:val="20"/>
        </w:rPr>
      </w:pPr>
      <w:r>
        <w:rPr>
          <w:sz w:val="20"/>
        </w:rPr>
        <w:t>Set rates for transmission equal to cost.</w:t>
      </w:r>
    </w:p>
    <w:p>
      <w:pPr>
        <w:pStyle w:val="Normal"/>
        <w:numPr>
          <w:ilvl w:val="0"/>
          <w:numId w:val="2"/>
        </w:numPr>
        <w:tabs>
          <w:tab w:val="clear" w:pos="720"/>
        </w:tabs>
        <w:rPr>
          <w:sz w:val="20"/>
        </w:rPr>
      </w:pPr>
      <w:r>
        <w:rPr>
          <w:sz w:val="20"/>
        </w:rPr>
        <w:t>Attempt to negotiate with munis to purchase muni transmission assets.</w:t>
      </w:r>
    </w:p>
    <w:p>
      <w:pPr>
        <w:pStyle w:val="Normal"/>
        <w:rPr>
          <w:sz w:val="20"/>
        </w:rPr>
      </w:pPr>
      <w:r>
        <w:rPr>
          <w:sz w:val="20"/>
        </w:rPr>
      </w:r>
    </w:p>
    <w:p>
      <w:pPr>
        <w:pStyle w:val="Heading5"/>
        <w:rPr>
          <w:b w:val="false"/>
          <w:bCs w:val="false"/>
          <w:sz w:val="20"/>
        </w:rPr>
      </w:pPr>
      <w:r>
        <w:rPr>
          <w:sz w:val="20"/>
        </w:rPr>
        <w:t>Low interest loans and tax credits for conservation and renewables</w:t>
      </w:r>
    </w:p>
    <w:p>
      <w:pPr>
        <w:pStyle w:val="Normal"/>
        <w:numPr>
          <w:ilvl w:val="0"/>
          <w:numId w:val="6"/>
        </w:numPr>
        <w:tabs>
          <w:tab w:val="clear" w:pos="720"/>
        </w:tabs>
        <w:rPr>
          <w:sz w:val="20"/>
        </w:rPr>
      </w:pPr>
      <w:r>
        <w:rPr>
          <w:sz w:val="20"/>
        </w:rPr>
        <w:t xml:space="preserve">Loans would be made </w:t>
      </w:r>
      <w:r>
        <w:rPr>
          <w:i/>
          <w:iCs/>
          <w:sz w:val="20"/>
        </w:rPr>
        <w:t>through the utility</w:t>
      </w:r>
      <w:r>
        <w:rPr>
          <w:sz w:val="20"/>
        </w:rPr>
        <w:t xml:space="preserve"> and would be repaid over five years through the customer’s utility bill</w:t>
      </w:r>
    </w:p>
    <w:p>
      <w:pPr>
        <w:pStyle w:val="Normal"/>
        <w:numPr>
          <w:ilvl w:val="0"/>
          <w:numId w:val="6"/>
        </w:numPr>
        <w:tabs>
          <w:tab w:val="clear" w:pos="720"/>
        </w:tabs>
        <w:rPr>
          <w:sz w:val="20"/>
        </w:rPr>
      </w:pPr>
      <w:r>
        <w:rPr>
          <w:sz w:val="20"/>
        </w:rPr>
        <w:t>Tax credits in the amount of 30% of the costs of “qualified investments” made within two years of enactment. Qualified investments include:</w:t>
      </w:r>
    </w:p>
    <w:p>
      <w:pPr>
        <w:pStyle w:val="Normal"/>
        <w:numPr>
          <w:ilvl w:val="1"/>
          <w:numId w:val="3"/>
        </w:numPr>
        <w:rPr>
          <w:sz w:val="20"/>
        </w:rPr>
      </w:pPr>
      <w:r>
        <w:rPr>
          <w:sz w:val="20"/>
        </w:rPr>
        <w:t>Consumer appliances and home improvements approved by the Energy Commission.</w:t>
      </w:r>
    </w:p>
    <w:p>
      <w:pPr>
        <w:pStyle w:val="Normal"/>
        <w:numPr>
          <w:ilvl w:val="1"/>
          <w:numId w:val="3"/>
        </w:numPr>
        <w:rPr>
          <w:i/>
          <w:i/>
          <w:iCs/>
          <w:sz w:val="20"/>
        </w:rPr>
      </w:pPr>
      <w:r>
        <w:rPr>
          <w:sz w:val="20"/>
        </w:rPr>
        <w:t xml:space="preserve">Business equipment and facility improvements approved by the Energy Commission, </w:t>
      </w:r>
      <w:r>
        <w:rPr>
          <w:i/>
          <w:iCs/>
          <w:sz w:val="20"/>
        </w:rPr>
        <w:t>with the utility certifying installation/completion</w:t>
      </w:r>
      <w:r>
        <w:rPr>
          <w:sz w:val="20"/>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720"/>
        </w:tabs>
        <w:ind w:start="720"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1440"/>
        </w:tabs>
        <w:ind w:start="1440" w:hanging="360"/>
      </w:pPr>
    </w:lvl>
  </w:abstractNum>
  <w:abstractNum w:abstractNumId="6">
    <w:lvl w:ilvl="0">
      <w:start w:val="1"/>
      <w:numFmt w:val="bullet"/>
      <w:lvlText w:val=""/>
      <w:lvlJc w:val="start"/>
      <w:pPr>
        <w:tabs>
          <w:tab w:val="num" w:pos="360"/>
        </w:tabs>
        <w:ind w:start="28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mallCap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i/>
      <w:i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firstLine="720" w:start="0" w:end="0"/>
      <w:outlineLvl w:val="4"/>
    </w:pPr>
    <w:rPr>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firstLine="720" w:start="0" w:end="0"/>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2001-01-07T22:59:00Z</dcterms:created>
  <dc:creator>jdasovic</dc:creator>
  <dc:description/>
  <dc:language>en-CA</dc:language>
  <cp:lastModifiedBy>jdasovic</cp:lastModifiedBy>
  <dcterms:modified xsi:type="dcterms:W3CDTF">2001-01-08T02:16:00Z</dcterms:modified>
  <cp:revision>21</cp:revision>
  <dc:subject/>
  <dc:title>Memorandum</dc:title>
</cp:coreProperties>
</file>