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June __,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Brazos VPP Limited Partnership</w:t>
      </w:r>
    </w:p>
    <w:p>
      <w:pPr>
        <w:pStyle w:val="Normal"/>
        <w:jc w:val="both"/>
        <w:rPr>
          <w:rFonts w:ascii="Arial" w:hAnsi="Arial" w:cs="Arial"/>
          <w:sz w:val="22"/>
        </w:rPr>
      </w:pPr>
      <w:r>
        <w:rPr>
          <w:rFonts w:cs="Arial" w:ascii="Arial" w:hAnsi="Arial"/>
          <w:sz w:val="22"/>
        </w:rPr>
        <w:t>1400 Smith</w:t>
      </w:r>
    </w:p>
    <w:p>
      <w:pPr>
        <w:pStyle w:val="Normal"/>
        <w:jc w:val="both"/>
        <w:rPr>
          <w:rFonts w:ascii="Arial" w:hAnsi="Arial" w:cs="Arial"/>
          <w:sz w:val="22"/>
        </w:rPr>
      </w:pPr>
      <w:r>
        <w:rPr>
          <w:rFonts w:cs="Arial" w:ascii="Arial" w:hAnsi="Arial"/>
          <w:sz w:val="22"/>
        </w:rPr>
        <w:t>Houston, Texas 77002</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CONFIRMATION</w:t>
      </w:r>
    </w:p>
    <w:p>
      <w:pPr>
        <w:pStyle w:val="Normal"/>
        <w:jc w:val="center"/>
        <w:rPr>
          <w:rFonts w:ascii="Arial" w:hAnsi="Arial" w:cs="Arial"/>
          <w:sz w:val="22"/>
        </w:rPr>
      </w:pPr>
      <w:r>
        <w:rPr>
          <w:rFonts w:cs="Arial" w:ascii="Arial" w:hAnsi="Arial"/>
          <w:sz w:val="22"/>
        </w:rPr>
        <w:t>(Andex)</w:t>
      </w:r>
    </w:p>
    <w:p>
      <w:pPr>
        <w:pStyle w:val="Normal"/>
        <w:jc w:val="center"/>
        <w:rPr>
          <w:rFonts w:ascii="Arial" w:hAnsi="Arial" w:cs="Arial"/>
          <w:sz w:val="22"/>
        </w:rPr>
      </w:pPr>
      <w:r>
        <w:rPr>
          <w:rFonts w:cs="Arial" w:ascii="Arial" w:hAnsi="Arial"/>
          <w:sz w:val="22"/>
        </w:rPr>
      </w:r>
    </w:p>
    <w:p>
      <w:pPr>
        <w:pStyle w:val="Normal"/>
        <w:jc w:val="both"/>
        <w:rPr/>
      </w:pPr>
      <w:r>
        <w:rPr>
          <w:rFonts w:cs="Arial" w:ascii="Arial" w:hAnsi="Arial"/>
          <w:sz w:val="22"/>
        </w:rPr>
        <w:t>This Confirmation shall confirm the transaction agreed to and be binding between Brazos VPP Limited Partnership, a Delaware limited partnership ("</w:t>
      </w:r>
      <w:r>
        <w:rPr>
          <w:rFonts w:cs="Arial" w:ascii="Arial" w:hAnsi="Arial"/>
          <w:sz w:val="22"/>
          <w:u w:val="single"/>
        </w:rPr>
        <w:t>Seller</w:t>
      </w:r>
      <w:r>
        <w:rPr>
          <w:rFonts w:cs="Arial" w:ascii="Arial" w:hAnsi="Arial"/>
          <w:sz w:val="22"/>
        </w:rPr>
        <w:t>"), and Enron North America Corp. ("</w:t>
      </w:r>
      <w:r>
        <w:rPr>
          <w:rFonts w:cs="Arial" w:ascii="Arial" w:hAnsi="Arial"/>
          <w:sz w:val="22"/>
          <w:u w:val="single"/>
        </w:rPr>
        <w:t>Buyer</w:t>
      </w:r>
      <w:r>
        <w:rPr>
          <w:rFonts w:cs="Arial" w:ascii="Arial" w:hAnsi="Arial"/>
          <w:sz w:val="22"/>
        </w:rPr>
        <w:t>") regarding the purchase and sale of Oil on the following terms.  Buyer to purchase and receive and Seller to sell and deliver.</w:t>
      </w:r>
    </w:p>
    <w:p>
      <w:pPr>
        <w:pStyle w:val="Normal"/>
        <w:jc w:val="both"/>
        <w:rPr>
          <w:rFonts w:ascii="Arial" w:hAnsi="Arial" w:cs="Arial"/>
          <w:sz w:val="22"/>
        </w:rPr>
      </w:pPr>
      <w:r>
        <w:rPr>
          <w:rFonts w:cs="Arial" w:ascii="Arial" w:hAnsi="Arial"/>
          <w:sz w:val="22"/>
        </w:rPr>
        <w:t>Transaction Number __________.</w:t>
      </w:r>
    </w:p>
    <w:p>
      <w:pPr>
        <w:pStyle w:val="Normal"/>
        <w:jc w:val="both"/>
        <w:rPr>
          <w:rFonts w:ascii="Arial" w:hAnsi="Arial" w:cs="Arial"/>
          <w:sz w:val="22"/>
        </w:rPr>
      </w:pPr>
      <w:r>
        <w:rPr>
          <w:rFonts w:cs="Arial" w:ascii="Arial" w:hAnsi="Arial"/>
          <w:sz w:val="22"/>
        </w:rPr>
      </w:r>
    </w:p>
    <w:p>
      <w:pPr>
        <w:pStyle w:val="Normal"/>
        <w:tabs>
          <w:tab w:val="clear" w:pos="720"/>
          <w:tab w:val="left" w:pos="3600" w:leader="none"/>
        </w:tabs>
        <w:ind w:hanging="3643" w:start="3643" w:end="0"/>
        <w:jc w:val="both"/>
        <w:rPr/>
      </w:pPr>
      <w:r>
        <w:rPr>
          <w:rFonts w:cs="Arial" w:ascii="Arial" w:hAnsi="Arial"/>
          <w:b/>
          <w:bCs/>
          <w:sz w:val="22"/>
        </w:rPr>
        <w:t>RE:</w:t>
        <w:tab/>
      </w:r>
      <w:r>
        <w:rPr>
          <w:rFonts w:cs="Arial" w:ascii="Arial" w:hAnsi="Arial"/>
          <w:sz w:val="22"/>
        </w:rPr>
        <w:t>Conveyance of Overriding Royalty Interest from Andex Resources, L.L.C. (“Andex”) to Brazos VPP Limited Partnership, effective as of _____ __, 2001 (the “Conveyance”), a copy of which is attached hereto as Exhibit A</w:t>
      </w:r>
    </w:p>
    <w:p>
      <w:pPr>
        <w:pStyle w:val="Normal"/>
        <w:tabs>
          <w:tab w:val="clear" w:pos="720"/>
          <w:tab w:val="left" w:pos="3600" w:leader="none"/>
        </w:tabs>
        <w:ind w:hanging="3643" w:start="3643" w:end="0"/>
        <w:jc w:val="both"/>
        <w:rPr>
          <w:rFonts w:ascii="Arial" w:hAnsi="Arial" w:cs="Arial"/>
          <w:sz w:val="22"/>
        </w:rPr>
      </w:pPr>
      <w:r>
        <w:rPr>
          <w:rFonts w:cs="Arial" w:ascii="Arial" w:hAnsi="Arial"/>
          <w:sz w:val="22"/>
        </w:rPr>
      </w:r>
    </w:p>
    <w:p>
      <w:pPr>
        <w:pStyle w:val="Normal"/>
        <w:tabs>
          <w:tab w:val="clear" w:pos="720"/>
          <w:tab w:val="left" w:pos="3636" w:leader="none"/>
          <w:tab w:val="left" w:pos="8640" w:leader="none"/>
        </w:tabs>
        <w:ind w:hanging="5580" w:start="5580" w:end="0"/>
        <w:jc w:val="both"/>
        <w:rPr>
          <w:rFonts w:ascii="Arial" w:hAnsi="Arial" w:cs="Arial"/>
          <w:sz w:val="22"/>
        </w:rPr>
      </w:pPr>
      <w:r>
        <w:rPr>
          <w:rFonts w:cs="Arial" w:ascii="Arial" w:hAnsi="Arial"/>
          <w:b/>
          <w:bCs/>
          <w:sz w:val="22"/>
        </w:rPr>
        <w:t>EFFECTIVE DATE:</w:t>
      </w:r>
      <w:r>
        <w:rPr>
          <w:rFonts w:cs="Arial" w:ascii="Arial" w:hAnsi="Arial"/>
          <w:sz w:val="22"/>
        </w:rPr>
        <w:tab/>
        <w:t>May 1, 2001</w:t>
      </w:r>
      <w:r>
        <w:rPr>
          <w:rFonts w:cs="Arial" w:ascii="Arial" w:hAnsi="Arial"/>
          <w:b/>
          <w:bCs/>
          <w:sz w:val="22"/>
        </w:rPr>
        <w:t xml:space="preserve">                         </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3600" w:start="3600" w:end="0"/>
        <w:jc w:val="both"/>
        <w:rPr/>
      </w:pPr>
      <w:r>
        <w:rPr>
          <w:rFonts w:cs="Arial" w:ascii="Arial" w:hAnsi="Arial"/>
          <w:b/>
          <w:sz w:val="22"/>
        </w:rPr>
        <w:t>PERIOD OF DELIVERY:</w:t>
      </w:r>
      <w:r>
        <w:rPr>
          <w:rFonts w:cs="Arial" w:ascii="Arial" w:hAnsi="Arial"/>
          <w:bCs/>
          <w:sz w:val="22"/>
        </w:rPr>
        <w:t xml:space="preserve">  </w:t>
        <w:tab/>
        <w:t xml:space="preserve">May </w:t>
      </w:r>
      <w:r>
        <w:rPr>
          <w:rFonts w:cs="Arial" w:ascii="Arial" w:hAnsi="Arial"/>
          <w:sz w:val="22"/>
        </w:rPr>
        <w:t>1, 2001, until the Termination Time (as such term is defined in the Conveyance)</w:t>
      </w:r>
    </w:p>
    <w:p>
      <w:pPr>
        <w:pStyle w:val="Normal"/>
        <w:tabs>
          <w:tab w:val="clear" w:pos="720"/>
          <w:tab w:val="left" w:pos="8640" w:leader="none"/>
        </w:tabs>
        <w:ind w:hanging="3600" w:start="3600" w:end="0"/>
        <w:jc w:val="both"/>
        <w:rPr>
          <w:rFonts w:ascii="Arial" w:hAnsi="Arial" w:cs="Arial"/>
          <w:sz w:val="22"/>
        </w:rPr>
      </w:pPr>
      <w:r>
        <w:rPr>
          <w:rFonts w:cs="Arial" w:ascii="Arial" w:hAnsi="Arial"/>
          <w:sz w:val="22"/>
        </w:rPr>
      </w:r>
    </w:p>
    <w:p>
      <w:pPr>
        <w:pStyle w:val="BodyTextIndent"/>
        <w:tabs>
          <w:tab w:val="left" w:pos="0" w:leader="none"/>
          <w:tab w:val="left" w:pos="720" w:leader="none"/>
        </w:tabs>
        <w:ind w:hanging="3600" w:start="3600" w:end="0"/>
        <w:jc w:val="both"/>
        <w:rPr/>
      </w:pPr>
      <w:r>
        <w:rPr>
          <w:rFonts w:cs="Arial" w:ascii="Arial" w:hAnsi="Arial"/>
          <w:b/>
          <w:sz w:val="22"/>
        </w:rPr>
        <w:t>SCHEDULED AMOUNTS:</w:t>
        <w:tab/>
      </w:r>
      <w:r>
        <w:rPr>
          <w:rFonts w:cs="Arial" w:ascii="Arial" w:hAnsi="Arial"/>
          <w:sz w:val="22"/>
        </w:rPr>
        <w:t>The Scheduled Amounts in Barrels per Day for each Property for each Month set forth on Schedule 1 attached hereto plus any Scheduled Amounts (as such term is defined in the Conveyance) of Oil attributable other Property to the extent that Seller elects to take production in kind from Andex.</w:t>
      </w:r>
    </w:p>
    <w:p>
      <w:pPr>
        <w:pStyle w:val="BodyTextIndent"/>
        <w:tabs>
          <w:tab w:val="left" w:pos="0" w:leader="none"/>
          <w:tab w:val="left" w:pos="720" w:leader="none"/>
        </w:tabs>
        <w:ind w:start="0" w:end="0"/>
        <w:rPr>
          <w:rFonts w:ascii="Arial" w:hAnsi="Arial" w:cs="Arial"/>
          <w:b/>
          <w:sz w:val="22"/>
        </w:rPr>
      </w:pPr>
      <w:r>
        <w:rPr>
          <w:rFonts w:cs="Arial" w:ascii="Arial" w:hAnsi="Arial"/>
          <w:b/>
          <w:sz w:val="22"/>
        </w:rPr>
      </w:r>
    </w:p>
    <w:p>
      <w:pPr>
        <w:pStyle w:val="Normal"/>
        <w:tabs>
          <w:tab w:val="clear" w:pos="720"/>
          <w:tab w:val="left" w:pos="8640" w:leader="none"/>
        </w:tabs>
        <w:ind w:hanging="3600" w:start="3600" w:end="0"/>
        <w:jc w:val="both"/>
        <w:rPr/>
      </w:pPr>
      <w:r>
        <w:rPr>
          <w:rFonts w:cs="Arial" w:ascii="Arial" w:hAnsi="Arial"/>
          <w:b/>
          <w:sz w:val="22"/>
        </w:rPr>
        <w:t>DELIVERY POINTS:</w:t>
      </w:r>
      <w:r>
        <w:rPr>
          <w:rFonts w:cs="Arial" w:ascii="Arial" w:hAnsi="Arial"/>
          <w:sz w:val="22"/>
        </w:rPr>
        <w:t xml:space="preserve">  </w:t>
        <w:tab/>
        <w:t xml:space="preserve">With respect to Oil produced from a Lease (as such term is defined in the Conveyance), the Delivery Point shall be the tanks applicable to such Lease (or other Leases adjacent thereto which are operated as a common facility) or other location on such Lease where such Oil is typically delivered to the first purchaser or to Buyer’s designated trucks or pipelines or as may be otherwise specified by Buyer. </w:t>
      </w:r>
    </w:p>
    <w:p>
      <w:pPr>
        <w:pStyle w:val="Normal"/>
        <w:tabs>
          <w:tab w:val="clear" w:pos="720"/>
          <w:tab w:val="center" w:pos="10800" w:leader="none"/>
        </w:tabs>
        <w:jc w:val="both"/>
        <w:rPr>
          <w:rFonts w:ascii="Arial" w:hAnsi="Arial" w:cs="Arial"/>
          <w:b/>
          <w:sz w:val="22"/>
        </w:rPr>
      </w:pPr>
      <w:r>
        <w:rPr>
          <w:rFonts w:cs="Arial" w:ascii="Arial" w:hAnsi="Arial"/>
          <w:sz w:val="22"/>
        </w:rPr>
        <w:tab/>
      </w:r>
    </w:p>
    <w:p>
      <w:pPr>
        <w:pStyle w:val="Normal"/>
        <w:ind w:hanging="3600" w:start="3600" w:end="0"/>
        <w:jc w:val="both"/>
        <w:rPr/>
      </w:pPr>
      <w:r>
        <w:rPr>
          <w:rFonts w:cs="Arial" w:ascii="Arial" w:hAnsi="Arial"/>
          <w:b/>
          <w:sz w:val="22"/>
        </w:rPr>
        <w:t>CONTRACT PRICE:</w:t>
      </w:r>
      <w:r>
        <w:rPr>
          <w:rFonts w:cs="Arial" w:ascii="Arial" w:hAnsi="Arial"/>
          <w:sz w:val="22"/>
        </w:rPr>
        <w:t xml:space="preserve"> </w:t>
        <w:tab/>
        <w:t>For each Month during the Term, the Contract Price for each Property (as such term is defined in the Conveyance) shall be as set forth on Schedule 2 attached hereto.</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This Transaction Agreement is being provided pursuant to and in accordance with the Master Crude Oil Purchase and Sale Agreement dated as of December 28, 2001, between Buyer and Seller (as amended, restated or supplemented from time to time, the “Master Agreement”), and constitutes part of and is subject to all of the provisions of such Agreement.  Capitalized terms used but not defined herein shall have the meanings assigned to such terms in the Master Agreement.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EXECUTED to be effective as of the Effective Date.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t>ENRON NORTH AMERICA CORP.</w:t>
        <w:tab/>
        <w:tab/>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pP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Printed Name:</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cs="Arial" w:ascii="Arial" w:hAnsi="Arial"/>
          <w:sz w:val="22"/>
        </w:rPr>
        <w:t>Title:</w:t>
      </w:r>
      <w:r>
        <w:rPr>
          <w:rFonts w:cs="Arial" w:ascii="Arial" w:hAnsi="Arial"/>
          <w:sz w:val="22"/>
          <w:u w:val="single"/>
        </w:rPr>
        <w:tab/>
        <w:tab/>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rPr>
        <w:t>BRAZOS VPP LIMITED PARTNERSHIP</w:t>
      </w:r>
    </w:p>
    <w:p>
      <w:pPr>
        <w:pStyle w:val="Normal"/>
        <w:tabs>
          <w:tab w:val="clear" w:pos="720"/>
          <w:tab w:val="left" w:pos="4050" w:leader="none"/>
          <w:tab w:val="left" w:pos="5400" w:leader="none"/>
          <w:tab w:val="left" w:pos="9360" w:leader="none"/>
        </w:tabs>
        <w:rPr>
          <w:rFonts w:ascii="Arial" w:hAnsi="Arial" w:cs="Arial"/>
          <w:sz w:val="22"/>
          <w:u w:val="single"/>
        </w:rPr>
      </w:pPr>
      <w:r>
        <w:rPr>
          <w:rFonts w:cs="Arial" w:ascii="Arial" w:hAnsi="Arial"/>
          <w:sz w:val="22"/>
          <w:u w:val="single"/>
        </w:rPr>
      </w:r>
    </w:p>
    <w:p>
      <w:pPr>
        <w:pStyle w:val="Normal"/>
        <w:tabs>
          <w:tab w:val="clear" w:pos="720"/>
          <w:tab w:val="left" w:pos="4050" w:leader="none"/>
          <w:tab w:val="left" w:pos="5400" w:leader="none"/>
          <w:tab w:val="left" w:pos="9360" w:leader="none"/>
        </w:tabs>
        <w:rPr>
          <w:rFonts w:ascii="Arial" w:hAnsi="Arial" w:cs="Arial"/>
          <w:sz w:val="22"/>
        </w:rPr>
      </w:pPr>
      <w:r>
        <w:rPr>
          <w:rFonts w:cs="Arial" w:ascii="Arial" w:hAnsi="Arial"/>
          <w:sz w:val="22"/>
        </w:rPr>
      </w:r>
    </w:p>
    <w:p>
      <w:p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By:</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Printed Name:</w:t>
      </w:r>
      <w:r>
        <w:rPr>
          <w:rFonts w:cs="Arial" w:ascii="Arial" w:hAnsi="Arial"/>
          <w:sz w:val="22"/>
          <w:u w:val="single"/>
        </w:rPr>
        <w:tab/>
        <w:tab/>
      </w:r>
    </w:p>
    <w:p>
      <w:pPr>
        <w:pStyle w:val="Normal"/>
        <w:tabs>
          <w:tab w:val="clear" w:pos="720"/>
          <w:tab w:val="left" w:pos="4050" w:leader="none"/>
          <w:tab w:val="left" w:pos="5400" w:leader="none"/>
          <w:tab w:val="left" w:pos="9360" w:leader="none"/>
        </w:tabs>
        <w:rPr/>
      </w:pPr>
      <w:r>
        <w:rPr>
          <w:rFonts w:eastAsia="Arial" w:cs="Arial" w:ascii="Arial" w:hAnsi="Arial"/>
          <w:sz w:val="22"/>
        </w:rPr>
        <w:t xml:space="preserve">      </w:t>
      </w:r>
      <w:r>
        <w:rPr>
          <w:rFonts w:cs="Arial" w:ascii="Arial" w:hAnsi="Arial"/>
          <w:sz w:val="22"/>
        </w:rPr>
        <w:t>Title:</w:t>
      </w:r>
      <w:r>
        <w:rPr>
          <w:rFonts w:cs="Arial" w:ascii="Arial" w:hAnsi="Arial"/>
          <w:sz w:val="22"/>
          <w:u w:val="single"/>
        </w:rPr>
        <w:tab/>
        <w:tab/>
      </w:r>
    </w:p>
    <w:p>
      <w:pPr>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titlePg/>
          <w:textDirection w:val="lrTb"/>
          <w:docGrid w:type="default" w:linePitch="360" w:charSpace="0"/>
        </w:sectPr>
        <w:pStyle w:val="Normal"/>
        <w:jc w:val="center"/>
        <w:rPr>
          <w:rFonts w:ascii="Arial" w:hAnsi="Arial" w:cs="Arial"/>
          <w:sz w:val="22"/>
        </w:rPr>
      </w:pPr>
      <w:r>
        <w:rPr>
          <w:rFonts w:cs="Arial" w:ascii="Arial" w:hAnsi="Arial"/>
          <w:sz w:val="22"/>
        </w:rPr>
        <w:br/>
      </w:r>
    </w:p>
    <w:p>
      <w:pPr>
        <w:pStyle w:val="Heading"/>
        <w:rPr>
          <w:rFonts w:ascii="Arial" w:hAnsi="Arial" w:cs="Arial"/>
        </w:rPr>
      </w:pPr>
      <w:r>
        <w:rPr>
          <w:rFonts w:cs="Arial" w:ascii="Arial" w:hAnsi="Arial"/>
        </w:rPr>
        <w:t>SCHEDULE 1</w:t>
      </w:r>
    </w:p>
    <w:p>
      <w:pPr>
        <w:pStyle w:val="Heading"/>
        <w:rPr>
          <w:rFonts w:ascii="Arial" w:hAnsi="Arial" w:cs="Arial"/>
        </w:rPr>
      </w:pPr>
      <w:r>
        <w:rPr>
          <w:rFonts w:cs="Arial" w:ascii="Arial" w:hAnsi="Arial"/>
        </w:rPr>
        <w:t>Scheduled Amounts</w:t>
      </w:r>
    </w:p>
    <w:p>
      <w:pPr>
        <w:pStyle w:val="Normal"/>
        <w:rPr/>
      </w:pPr>
      <w:r>
        <w:rPr/>
      </w:r>
    </w:p>
    <w:tbl>
      <w:tblPr>
        <w:tblW w:w="8385" w:type="dxa"/>
        <w:jc w:val="center"/>
        <w:tblInd w:w="0" w:type="dxa"/>
        <w:tblLayout w:type="fixed"/>
        <w:tblCellMar>
          <w:top w:w="15" w:type="dxa"/>
          <w:start w:w="15" w:type="dxa"/>
          <w:bottom w:w="0" w:type="dxa"/>
          <w:end w:w="15" w:type="dxa"/>
        </w:tblCellMar>
      </w:tblPr>
      <w:tblGrid>
        <w:gridCol w:w="1185"/>
        <w:gridCol w:w="1440"/>
        <w:gridCol w:w="1440"/>
        <w:gridCol w:w="1440"/>
        <w:gridCol w:w="1440"/>
        <w:gridCol w:w="1440"/>
      </w:tblGrid>
      <w:tr>
        <w:trPr>
          <w:tblHeader w:val="true"/>
          <w:trHeight w:val="68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rPr>
            </w:pPr>
            <w:r>
              <w:rPr>
                <w:rFonts w:cs="Arial" w:ascii="Arial" w:hAnsi="Arial"/>
                <w:b/>
                <w:bCs/>
                <w:sz w:val="20"/>
              </w:rPr>
              <w:t>Production</w:t>
            </w:r>
          </w:p>
          <w:p>
            <w:pPr>
              <w:pStyle w:val="Normal"/>
              <w:jc w:val="center"/>
              <w:rPr>
                <w:rFonts w:ascii="Arial" w:hAnsi="Arial" w:eastAsia="Arial Unicode MS" w:cs="Arial"/>
                <w:b/>
                <w:bCs/>
                <w:sz w:val="20"/>
              </w:rPr>
            </w:pPr>
            <w:r>
              <w:rPr>
                <w:rFonts w:cs="Arial" w:ascii="Arial" w:hAnsi="Arial"/>
                <w:b/>
                <w:bCs/>
                <w:sz w:val="20"/>
              </w:rPr>
              <w:t>Month</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May-2001</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Jun-2001</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Jul-2001</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Aug-2001</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Sep-2001</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Oct-2001</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Nov-2001</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Dec-2001</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eastAsia="Arial" w:cs="Arial" w:ascii="Arial" w:hAnsi="Arial"/>
                <w:sz w:val="20"/>
              </w:rPr>
              <w:t xml:space="preserve"> </w:t>
            </w:r>
            <w:r>
              <w:rPr>
                <w:rFonts w:cs="Arial" w:ascii="Arial" w:hAnsi="Arial"/>
                <w:sz w:val="20"/>
              </w:rPr>
              <w:t>Sep-2002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Dec-2002</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Dec-2003</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Jan-2004</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Feb-2004</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Mar-2004</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Apr-2004</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May-2004</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8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Jun-2004</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BodyText"/>
        <w:rPr/>
      </w:pPr>
      <w:r>
        <w:rPr/>
      </w:r>
      <w:r>
        <w:br w:type="page"/>
      </w:r>
    </w:p>
    <w:p>
      <w:pPr>
        <w:pStyle w:val="BodyText"/>
        <w:rPr/>
      </w:pPr>
      <w:r>
        <w:rPr/>
      </w:r>
    </w:p>
    <w:tbl>
      <w:tblPr>
        <w:tblW w:w="9465" w:type="dxa"/>
        <w:jc w:val="center"/>
        <w:tblInd w:w="0" w:type="dxa"/>
        <w:tblLayout w:type="fixed"/>
        <w:tblCellMar>
          <w:top w:w="15" w:type="dxa"/>
          <w:start w:w="15" w:type="dxa"/>
          <w:bottom w:w="0" w:type="dxa"/>
          <w:end w:w="15" w:type="dxa"/>
        </w:tblCellMar>
      </w:tblPr>
      <w:tblGrid>
        <w:gridCol w:w="1275"/>
        <w:gridCol w:w="1440"/>
        <w:gridCol w:w="1350"/>
        <w:gridCol w:w="1350"/>
        <w:gridCol w:w="1350"/>
        <w:gridCol w:w="1350"/>
        <w:gridCol w:w="1350"/>
      </w:tblGrid>
      <w:tr>
        <w:trPr>
          <w:tblHeader w:val="true"/>
          <w:trHeight w:val="92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rPr>
            </w:pPr>
            <w:r>
              <w:rPr>
                <w:rFonts w:cs="Arial" w:ascii="Arial" w:hAnsi="Arial"/>
                <w:b/>
                <w:bCs/>
                <w:sz w:val="20"/>
              </w:rPr>
              <w:t>Production</w:t>
            </w:r>
          </w:p>
          <w:p>
            <w:pPr>
              <w:pStyle w:val="Normal"/>
              <w:jc w:val="center"/>
              <w:rPr>
                <w:rFonts w:ascii="Arial" w:hAnsi="Arial" w:eastAsia="Arial Unicode MS" w:cs="Arial"/>
                <w:b/>
                <w:bCs/>
                <w:sz w:val="20"/>
              </w:rPr>
            </w:pPr>
            <w:r>
              <w:rPr>
                <w:rFonts w:cs="Arial" w:ascii="Arial" w:hAnsi="Arial"/>
                <w:b/>
                <w:bCs/>
                <w:sz w:val="20"/>
              </w:rPr>
              <w:t>Month</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May-2001</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Jun-2001</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Jul-2001</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Aug-2001</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Sep-2001</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Oct-2001</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Nov-2001</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Dec-2001</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Dec-2002</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Dec-2003</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Jan-2004</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Feb-2004</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Mar-2004</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Apr-2004</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May-2004</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Jun-2004</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7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Jul-2004</w:t>
            </w:r>
          </w:p>
        </w:tc>
        <w:tc>
          <w:tcPr>
            <w:tcW w:w="144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5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BodyText"/>
        <w:rPr/>
      </w:pPr>
      <w:r>
        <w:rPr/>
      </w:r>
      <w:r>
        <w:br w:type="page"/>
      </w:r>
    </w:p>
    <w:p>
      <w:pPr>
        <w:pStyle w:val="BodyText"/>
        <w:rPr/>
      </w:pPr>
      <w:r>
        <w:rPr/>
      </w:r>
    </w:p>
    <w:tbl>
      <w:tblPr>
        <w:tblW w:w="9555" w:type="dxa"/>
        <w:jc w:val="start"/>
        <w:tblInd w:w="0" w:type="dxa"/>
        <w:tblLayout w:type="fixed"/>
        <w:tblCellMar>
          <w:top w:w="15" w:type="dxa"/>
          <w:start w:w="15" w:type="dxa"/>
          <w:bottom w:w="0" w:type="dxa"/>
          <w:end w:w="15" w:type="dxa"/>
        </w:tblCellMar>
      </w:tblPr>
      <w:tblGrid>
        <w:gridCol w:w="1228"/>
        <w:gridCol w:w="1301"/>
        <w:gridCol w:w="1806"/>
        <w:gridCol w:w="1229"/>
        <w:gridCol w:w="1214"/>
        <w:gridCol w:w="1301"/>
        <w:gridCol w:w="1476"/>
      </w:tblGrid>
      <w:tr>
        <w:trPr>
          <w:tblHeader w:val="true"/>
          <w:trHeight w:val="68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rPr>
            </w:pPr>
            <w:r>
              <w:rPr>
                <w:rFonts w:cs="Arial" w:ascii="Arial" w:hAnsi="Arial"/>
                <w:b/>
                <w:bCs/>
                <w:sz w:val="20"/>
              </w:rPr>
              <w:t>Production</w:t>
            </w:r>
          </w:p>
          <w:p>
            <w:pPr>
              <w:pStyle w:val="Normal"/>
              <w:jc w:val="center"/>
              <w:rPr>
                <w:rFonts w:ascii="Arial" w:hAnsi="Arial" w:eastAsia="Arial Unicode MS" w:cs="Arial"/>
                <w:b/>
                <w:bCs/>
                <w:sz w:val="20"/>
              </w:rPr>
            </w:pPr>
            <w:r>
              <w:rPr>
                <w:rFonts w:cs="Arial" w:ascii="Arial" w:hAnsi="Arial"/>
                <w:b/>
                <w:bCs/>
                <w:sz w:val="20"/>
              </w:rPr>
              <w:t>Month</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b/>
                <w:bCs/>
                <w:sz w:val="20"/>
              </w:rPr>
            </w:pPr>
            <w:r>
              <w:rPr>
                <w:rFonts w:eastAsia="Arial Unicode MS" w:cs="Arial" w:ascii="Arial" w:hAnsi="Arial"/>
                <w:b/>
                <w:bCs/>
                <w:sz w:val="20"/>
              </w:rPr>
            </w:r>
          </w:p>
          <w:p>
            <w:pPr>
              <w:pStyle w:val="Normal"/>
              <w:jc w:val="center"/>
              <w:rPr>
                <w:rFonts w:ascii="Arial" w:hAnsi="Arial" w:eastAsia="Arial Unicode MS" w:cs="Arial"/>
                <w:b/>
                <w:bCs/>
                <w:sz w:val="20"/>
              </w:rPr>
            </w:pPr>
            <w:r>
              <w:rPr>
                <w:rFonts w:cs="Arial" w:ascii="Arial" w:hAnsi="Arial"/>
                <w:b/>
                <w:bCs/>
                <w:sz w:val="20"/>
              </w:rPr>
              <w:t>Bbls/day</w:t>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May-2001</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Jun-2001</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Jul-2001</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Aug-2001</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Sep-2001</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Oct-2001</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Nov-2001</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Dec-2001</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Dec-2002</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Aug-2003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Sep-2003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Oct-2003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Nov-2003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Dec-2003</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Jan-2004</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Feb-2004</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Mar-2004</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Apr-2004</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May-2004</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Jun-2004</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22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rPr>
            </w:pPr>
            <w:r>
              <w:rPr>
                <w:rFonts w:cs="Arial" w:ascii="Arial" w:hAnsi="Arial"/>
                <w:sz w:val="20"/>
              </w:rPr>
              <w:t>Jul-2004</w:t>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80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29"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214"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01"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476"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pPr>
      <w:r>
        <w:rPr/>
      </w:r>
    </w:p>
    <w:p>
      <w:pPr>
        <w:pStyle w:val="Heading"/>
        <w:spacing w:before="0" w:after="120"/>
        <w:rPr>
          <w:rFonts w:ascii="Arial" w:hAnsi="Arial" w:cs="Arial"/>
        </w:rPr>
      </w:pPr>
      <w:r>
        <w:rPr>
          <w:rFonts w:cs="Arial" w:ascii="Arial" w:hAnsi="Arial"/>
        </w:rPr>
        <w:t>SCHEDULE 2</w:t>
      </w:r>
    </w:p>
    <w:p>
      <w:pPr>
        <w:pStyle w:val="Normal"/>
        <w:jc w:val="center"/>
        <w:rPr>
          <w:rFonts w:ascii="Arial" w:hAnsi="Arial" w:cs="Arial"/>
          <w:sz w:val="24"/>
        </w:rPr>
      </w:pPr>
      <w:r>
        <w:rPr>
          <w:rFonts w:cs="Arial" w:ascii="Arial" w:hAnsi="Arial"/>
          <w:sz w:val="24"/>
        </w:rPr>
        <w:t>Contract Price per Barrel for Oil</w:t>
      </w:r>
    </w:p>
    <w:p>
      <w:pPr>
        <w:pStyle w:val="Normal"/>
        <w:rPr>
          <w:rFonts w:ascii="Arial" w:hAnsi="Arial" w:cs="Arial"/>
          <w:sz w:val="24"/>
        </w:rPr>
      </w:pPr>
      <w:r>
        <w:rPr>
          <w:rFonts w:cs="Arial" w:ascii="Arial" w:hAnsi="Arial"/>
          <w:sz w:val="24"/>
        </w:rPr>
      </w:r>
    </w:p>
    <w:tbl>
      <w:tblPr>
        <w:tblW w:w="2456" w:type="dxa"/>
        <w:jc w:val="center"/>
        <w:tblInd w:w="0" w:type="dxa"/>
        <w:tblLayout w:type="fixed"/>
        <w:tblCellMar>
          <w:top w:w="0" w:type="dxa"/>
          <w:start w:w="108" w:type="dxa"/>
          <w:bottom w:w="0" w:type="dxa"/>
          <w:end w:w="108" w:type="dxa"/>
        </w:tblCellMar>
      </w:tblPr>
      <w:tblGrid>
        <w:gridCol w:w="972"/>
        <w:gridCol w:w="1484"/>
      </w:tblGrid>
      <w:tr>
        <w:trPr>
          <w:tblHeader w:val="true"/>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u w:val="single"/>
              </w:rPr>
            </w:pPr>
            <w:r>
              <w:rPr>
                <w:rFonts w:cs="Arial" w:ascii="Arial" w:hAnsi="Arial"/>
                <w:b w:val="false"/>
                <w:bCs/>
                <w:u w:val="single"/>
              </w:rPr>
            </w:r>
          </w:p>
          <w:p>
            <w:pPr>
              <w:pStyle w:val="BodyText"/>
              <w:jc w:val="center"/>
              <w:rPr>
                <w:rFonts w:ascii="Arial" w:hAnsi="Arial" w:cs="Arial"/>
                <w:b w:val="false"/>
                <w:bCs/>
                <w:u w:val="single"/>
              </w:rPr>
            </w:pPr>
            <w:r>
              <w:rPr>
                <w:rFonts w:cs="Arial" w:ascii="Arial" w:hAnsi="Arial"/>
                <w:b w:val="false"/>
                <w:bCs/>
                <w:u w:val="single"/>
              </w:rPr>
              <w:t>Property</w:t>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u w:val="single"/>
              </w:rPr>
            </w:pPr>
            <w:r>
              <w:rPr>
                <w:rFonts w:cs="Arial" w:ascii="Arial" w:hAnsi="Arial"/>
                <w:b w:val="false"/>
                <w:bCs/>
                <w:u w:val="single"/>
              </w:rPr>
            </w:r>
          </w:p>
          <w:p>
            <w:pPr>
              <w:pStyle w:val="BodyText"/>
              <w:jc w:val="center"/>
              <w:rPr>
                <w:rFonts w:ascii="Arial" w:hAnsi="Arial" w:cs="Arial"/>
                <w:b w:val="false"/>
                <w:bCs/>
                <w:u w:val="single"/>
              </w:rPr>
            </w:pPr>
            <w:r>
              <w:rPr>
                <w:rFonts w:cs="Arial" w:ascii="Arial" w:hAnsi="Arial"/>
                <w:b w:val="false"/>
                <w:bCs/>
                <w:u w:val="single"/>
              </w:rPr>
              <w:t>Contract Price</w:t>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u w:val="single"/>
              </w:rPr>
            </w:pPr>
            <w:r>
              <w:rPr>
                <w:rFonts w:cs="Arial" w:ascii="Arial" w:hAnsi="Arial"/>
                <w:b w:val="false"/>
                <w:bCs/>
                <w:sz w:val="20"/>
                <w:u w:val="single"/>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keepNext w:val="true"/>
              <w:keepLines/>
              <w:snapToGrid w:val="false"/>
              <w:jc w:val="center"/>
              <w:rPr>
                <w:rFonts w:ascii="Arial" w:hAnsi="Arial" w:cs="Arial"/>
                <w:b w:val="false"/>
                <w:bCs/>
              </w:rPr>
            </w:pPr>
            <w:r>
              <w:rPr>
                <w:rFonts w:cs="Arial" w:ascii="Arial" w:hAnsi="Arial"/>
                <w:b w:val="false"/>
                <w:bCs/>
              </w:rPr>
            </w:r>
          </w:p>
        </w:tc>
      </w:tr>
      <w:tr>
        <w:trPr/>
        <w:tc>
          <w:tcPr>
            <w:tcW w:w="972"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val="false"/>
                <w:bCs/>
                <w:sz w:val="20"/>
              </w:rPr>
            </w:pPr>
            <w:r>
              <w:rPr>
                <w:rFonts w:cs="Arial" w:ascii="Arial" w:hAnsi="Arial"/>
                <w:b w:val="false"/>
                <w:bCs/>
                <w:sz w:val="20"/>
              </w:rPr>
            </w:r>
          </w:p>
        </w:tc>
        <w:tc>
          <w:tcPr>
            <w:tcW w:w="1484"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rFonts w:ascii="Arial" w:hAnsi="Arial" w:cs="Arial"/>
                <w:b w:val="false"/>
                <w:bCs/>
              </w:rPr>
            </w:pPr>
            <w:r>
              <w:rPr>
                <w:rFonts w:cs="Arial" w:ascii="Arial" w:hAnsi="Arial"/>
                <w:b w:val="false"/>
                <w:bCs/>
              </w:rPr>
            </w:r>
          </w:p>
        </w:tc>
      </w:tr>
    </w:tbl>
    <w:p>
      <w:pPr>
        <w:pStyle w:val="BodyText"/>
        <w:rPr/>
      </w:pPr>
      <w:r>
        <w:rPr/>
      </w:r>
    </w:p>
    <w:p>
      <w:pPr>
        <w:pStyle w:val="BodyText"/>
        <w:keepNext w:val="true"/>
        <w:keepLines/>
        <w:rPr>
          <w:rFonts w:ascii="Arial" w:hAnsi="Arial" w:cs="Arial"/>
          <w:b w:val="false"/>
          <w:bCs/>
          <w:sz w:val="22"/>
        </w:rPr>
      </w:pPr>
      <w:r>
        <w:rPr>
          <w:rFonts w:cs="Arial" w:ascii="Arial" w:hAnsi="Arial"/>
          <w:b w:val="false"/>
          <w:bCs/>
          <w:sz w:val="22"/>
        </w:rPr>
        <w:t>As used in this Exhibit, “NYMEX” shall mean for each Day during each Month the average of the New York Mercantile Exchange daily settlement prices for the West Texas Intermediate contract for all trade days during such Month.</w:t>
      </w:r>
    </w:p>
    <w:p>
      <w:pPr>
        <w:pStyle w:val="Normal"/>
        <w:rPr>
          <w:rFonts w:ascii="Arial" w:hAnsi="Arial" w:cs="Arial"/>
          <w:b/>
          <w:bCs/>
          <w:sz w:val="22"/>
        </w:rPr>
      </w:pPr>
      <w:r>
        <w:rPr>
          <w:rFonts w:cs="Arial" w:ascii="Arial" w:hAnsi="Arial"/>
          <w:b/>
          <w:bCs/>
          <w:sz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/mnt/main-storage/datasets/enron-docs/doc/Andex_Oil_Confirm_Agmnt_052501_I.doc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/mnt/main-storage/datasets/enron-docs/doc/Andex_Oil_Confirm_Agmnt_052501_I.doc</w:t>
    </w:r>
    <w:r>
      <w:rPr>
        <w:rStyle w:val="PageNumbe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1</w:t>
    </w:r>
    <w:r>
      <mc:AlternateContent>
        <mc:Choice Requires="wps">
          <w:drawing>
            <wp:anchor behindDoc="0" distT="0" distB="0" distL="0" distR="0" simplePos="0" locked="0" layoutInCell="0" allowOverlap="1" relativeHeight="5">
              <wp:simplePos x="0" y="0"/>
              <wp:positionH relativeFrom="margin">
                <wp:align>left</wp:align>
              </wp:positionH>
              <wp:positionV relativeFrom="page">
                <wp:align>bottom</wp:align>
              </wp:positionV>
              <wp:extent cx="1460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0pt;mso-position-horizontal:left;mso-position-horizontal-relative:margin">
              <v:fill opacity="0f"/>
              <v:textbox inset="0in,0in,0in,0in">
                <w:txbxContent>
                  <w:p>
                    <w:pPr>
                      <w:pStyle w:val="Normal"/>
                      <w:rPr>
                        <w:rStyle w:val="DocID"/>
                        <w:sz w:val="16"/>
                      </w:rPr>
                    </w:pPr>
                    <w:r>
                      <w:rPr/>
                    </w:r>
                  </w:p>
                </w:txbxContent>
              </v:textbox>
              <w10:wrap type="square"/>
            </v:rect>
          </w:pict>
        </mc:Fallback>
      </mc:AlternateContent>
    </w:r>
  </w:p>
  <w:p>
    <w:pPr>
      <w:pStyle w:val="Footer"/>
      <w:jc w:val="center"/>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3</w:t>
    </w:r>
    <w:r>
      <w:rPr>
        <w:rStyle w:val="PageNumber"/>
        <w:sz w:val="20"/>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2</w:t>
    </w:r>
    <w:r>
      <mc:AlternateContent>
        <mc:Choice Requires="wps">
          <w:drawing>
            <wp:anchor behindDoc="0" distT="0" distB="0" distL="0" distR="0" simplePos="0" locked="0" layoutInCell="1" allowOverlap="1" relativeHeight="0">
              <wp:simplePos x="0" y="0"/>
              <wp:positionH relativeFrom="margin">
                <wp:align>left</wp:align>
              </wp:positionH>
              <wp:positionV relativeFrom="page">
                <wp:align>bottom</wp:align>
              </wp:positionV>
              <wp:extent cx="207010" cy="365760"/>
              <wp:effectExtent l="0" t="0" r="0" b="0"/>
              <wp:wrapSquare wrapText="bothSides"/>
              <wp:docPr id="2" name="Frame4"/>
              <a:graphic xmlns:a="http://schemas.openxmlformats.org/drawingml/2006/main">
                <a:graphicData uri="http://schemas.microsoft.com/office/word/2010/wordprocessingShape">
                  <wps:wsp>
                    <wps:cNvSpPr txBox="1"/>
                    <wps:spPr>
                      <a:xfrm>
                        <a:off x="0" y="0"/>
                        <a:ext cx="207010"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6.3pt;height:28.8pt;mso-wrap-distance-left:0pt;mso-wrap-distance-right:0pt;mso-wrap-distance-top:0pt;mso-wrap-distance-bottom:0pt;margin-top:0pt;mso-position-vertical:bottom;mso-position-vertical-relative:page;margin-left:0pt;mso-position-horizontal:left;mso-position-horizontal-relative:margin">
              <v:fill opacity="0f"/>
              <v:textbox inset="0in,0in,0in,0in">
                <w:txbxContent>
                  <w:p>
                    <w:pPr>
                      <w:pStyle w:val="Normal"/>
                      <w:rPr>
                        <w:rStyle w:val="DocID"/>
                        <w:sz w:val="16"/>
                      </w:rPr>
                    </w:pPr>
                    <w:r>
                      <w:rPr/>
                    </w:r>
                  </w:p>
                </w:txbxContent>
              </v:textbox>
              <w10:wrap type="square"/>
            </v:rect>
          </w:pict>
        </mc:Fallback>
      </mc:AlternateContent>
    </w:r>
  </w:p>
  <w:p>
    <w:pPr>
      <w:pStyle w:val="Footer"/>
      <w:jc w:val="center"/>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0</w:t>
    </w:r>
    <w:r>
      <w:rPr>
        <w:rStyle w:val="PageNumber"/>
        <w:sz w:val="20"/>
        <w:rFonts w:cs="Arial"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Schedule 2</w:t>
    </w:r>
    <w:r>
      <mc:AlternateContent>
        <mc:Choice Requires="wps">
          <w:drawing>
            <wp:anchor behindDoc="0" distT="0" distB="0" distL="0" distR="0" simplePos="0" locked="0" layoutInCell="0" allowOverlap="1" relativeHeight="6">
              <wp:simplePos x="0" y="0"/>
              <wp:positionH relativeFrom="margin">
                <wp:align>left</wp:align>
              </wp:positionH>
              <wp:positionV relativeFrom="page">
                <wp:align>bottom</wp:align>
              </wp:positionV>
              <wp:extent cx="14605" cy="3657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0pt;mso-position-horizontal:left;mso-position-horizontal-relative:margin">
              <v:fill opacity="0f"/>
              <v:textbox inset="0in,0in,0in,0in">
                <w:txbxContent>
                  <w:p>
                    <w:pPr>
                      <w:pStyle w:val="Normal"/>
                      <w:rPr>
                        <w:rStyle w:val="DocID"/>
                        <w:sz w:val="16"/>
                      </w:rPr>
                    </w:pPr>
                    <w:r>
                      <w:rPr/>
                    </w:r>
                  </w:p>
                </w:txbxContent>
              </v:textbox>
              <w10:wrap type="square"/>
            </v:rect>
          </w:pict>
        </mc:Fallback>
      </mc:AlternateContent>
    </w:r>
  </w:p>
  <w:p>
    <w:pPr>
      <w:pStyle w:val="Footer"/>
      <w:jc w:val="center"/>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Brazos VPP,k LP</w:t>
    </w:r>
  </w:p>
  <w:p>
    <w:pPr>
      <w:pStyle w:val="Header"/>
      <w:rPr>
        <w:rFonts w:ascii="Arial" w:hAnsi="Arial" w:cs="Arial"/>
        <w:sz w:val="22"/>
      </w:rPr>
    </w:pPr>
    <w:r>
      <w:rPr>
        <w:rFonts w:cs="Arial" w:ascii="Arial" w:hAnsi="Arial"/>
        <w:sz w:val="22"/>
      </w:rPr>
      <w:t>June __, 2001</w:t>
    </w:r>
  </w:p>
  <w:p>
    <w:pPr>
      <w:pStyle w:val="Head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803" w:type="dxa"/>
      <w:jc w:val="start"/>
      <w:tblInd w:w="0" w:type="dxa"/>
      <w:tblLayout w:type="fixed"/>
      <w:tblCellMar>
        <w:top w:w="0" w:type="dxa"/>
        <w:start w:w="108" w:type="dxa"/>
        <w:bottom w:w="0" w:type="dxa"/>
        <w:end w:w="108" w:type="dxa"/>
      </w:tblCellMar>
    </w:tblPr>
    <w:tblGrid>
      <w:gridCol w:w="4601"/>
      <w:gridCol w:w="4601"/>
      <w:gridCol w:w="4601"/>
    </w:tblGrid>
    <w:tr>
      <w:trPr/>
      <w:tc>
        <w:tcPr>
          <w:tcW w:w="4601" w:type="dxa"/>
          <w:tcBorders/>
        </w:tcPr>
        <w:tbl>
          <w:tblPr>
            <w:tblW w:w="9202" w:type="dxa"/>
            <w:jc w:val="start"/>
            <w:tblInd w:w="116"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313598301"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i/>
              <w:i/>
              <w:sz w:val="16"/>
            </w:rPr>
          </w:pPr>
          <w:r>
            <w:rPr>
              <w:rFonts w:cs="Arial" w:ascii="Arial" w:hAnsi="Arial"/>
              <w:b/>
              <w:i/>
              <w:sz w:val="16"/>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12"/>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tyle>
  <w:style w:type="character" w:styleId="WW8Num17z0">
    <w:name w:val="WW8Num17z0"/>
    <w:qFormat/>
    <w:rPr>
      <w:sz w:val="20"/>
    </w:rPr>
  </w:style>
  <w:style w:type="character" w:styleId="WW8Num18z0">
    <w:name w:val="WW8Num18z0"/>
    <w:qFormat/>
    <w:rPr>
      <w:rFonts w:ascii="Times New Roman" w:hAnsi="Times New Roman" w:cs="Times New Roman"/>
      <w:b w:val="false"/>
      <w:i w:val="false"/>
      <w:sz w:val="22"/>
      <w:u w:val="none"/>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9z0">
    <w:name w:val="WW8Num39z0"/>
    <w:qFormat/>
    <w:rPr/>
  </w:style>
  <w:style w:type="character" w:styleId="WW8Num40z0">
    <w:name w:val="WW8Num40z0"/>
    <w:qFormat/>
    <w:rPr>
      <w:sz w:val="20"/>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u w:val="none"/>
    </w:rPr>
  </w:style>
  <w:style w:type="character" w:styleId="WW8Num48z1">
    <w:name w:val="WW8Num48z1"/>
    <w:qFormat/>
    <w:rPr>
      <w:b w:val="false"/>
      <w:i w:val="false"/>
      <w:u w:val="none"/>
    </w:rPr>
  </w:style>
  <w:style w:type="character" w:styleId="WW8Num48z4">
    <w:name w:val="WW8Num48z4"/>
    <w:qFormat/>
    <w:rPr/>
  </w:style>
  <w:style w:type="character" w:styleId="WW8Num48z8">
    <w:name w:val="WW8Num48z8"/>
    <w:qFormat/>
    <w:rPr>
      <w:rFonts w:ascii="Courier New" w:hAnsi="Courier New" w:cs="Courier New"/>
      <w:color w:val="000000"/>
      <w:sz w:val="28"/>
    </w:rPr>
  </w:style>
  <w:style w:type="character" w:styleId="WW8Num49z0">
    <w:name w:val="WW8Num49z0"/>
    <w:qFormat/>
    <w:rPr>
      <w:rFonts w:ascii="Times New Roman" w:hAnsi="Times New Roman" w:cs="Times New Roman"/>
      <w:b w:val="false"/>
      <w:i w:val="false"/>
      <w:sz w:val="22"/>
      <w:u w:val="none"/>
    </w:rPr>
  </w:style>
  <w:style w:type="character" w:styleId="WW8Num50z0">
    <w:name w:val="WW8Num50z0"/>
    <w:qFormat/>
    <w:rPr>
      <w:sz w:val="20"/>
    </w:rPr>
  </w:style>
  <w:style w:type="character" w:styleId="WW8Num51z0">
    <w:name w:val="WW8Num51z0"/>
    <w:qFormat/>
    <w:rPr/>
  </w:style>
  <w:style w:type="character" w:styleId="WW8Num52z0">
    <w:name w:val="WW8Num52z0"/>
    <w:qFormat/>
    <w:rPr/>
  </w:style>
  <w:style w:type="character" w:styleId="WW8Num53z0">
    <w:name w:val="WW8Num53z0"/>
    <w:qFormat/>
    <w:rPr>
      <w:u w:val="single"/>
    </w:rPr>
  </w:style>
  <w:style w:type="character" w:styleId="WW8Num54z0">
    <w:name w:val="WW8Num54z0"/>
    <w:qFormat/>
    <w:rPr/>
  </w:style>
  <w:style w:type="character" w:styleId="WW8Num55z0">
    <w:name w:val="WW8Num55z0"/>
    <w:qFormat/>
    <w:rPr/>
  </w:style>
  <w:style w:type="character" w:styleId="WW8Num56z0">
    <w:name w:val="WW8Num56z0"/>
    <w:qFormat/>
    <w:rPr>
      <w:rFonts w:ascii="Courier New" w:hAnsi="Courier New" w:cs="Courier New"/>
      <w:b w:val="false"/>
      <w:i w:val="false"/>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rFonts w:ascii="Times New Roman" w:hAnsi="Times New Roman" w:cs="Times New Roman"/>
      <w:b w:val="false"/>
      <w:i w:val="false"/>
      <w:sz w:val="22"/>
      <w:u w:val="none"/>
    </w:rPr>
  </w:style>
  <w:style w:type="character" w:styleId="WW8Num83z0">
    <w:name w:val="WW8Num83z0"/>
    <w:qFormat/>
    <w:rPr/>
  </w:style>
  <w:style w:type="character" w:styleId="WW8Num84z0">
    <w:name w:val="WW8Num84z0"/>
    <w:qFormat/>
    <w:rPr>
      <w:rFonts w:ascii="Times New Roman" w:hAnsi="Times New Roman" w:cs="Times New Roman"/>
      <w:b w:val="false"/>
      <w:i w:val="false"/>
      <w:sz w:val="20"/>
      <w:u w:val="none"/>
    </w:rPr>
  </w:style>
  <w:style w:type="character" w:styleId="WW8Num85z0">
    <w:name w:val="WW8Num85z0"/>
    <w:qFormat/>
    <w:rPr>
      <w:rFonts w:ascii="Times New Roman" w:hAnsi="Times New Roman" w:cs="Times New Roman"/>
      <w:b w:val="false"/>
      <w:i w:val="false"/>
      <w:sz w:val="22"/>
      <w:u w:val="none"/>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DocID">
    <w:name w:val="DocID"/>
    <w:basedOn w:val="DefaultParagraphFont"/>
    <w:qFormat/>
    <w:rPr>
      <w:sz w:val="12"/>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spacing w:before="0" w:after="240"/>
      <w:jc w:val="center"/>
    </w:pPr>
    <w:rPr>
      <w:rFonts w:ascii="Times New Roman" w:hAnsi="Times New Roman" w:cs="Arial"/>
      <w:b/>
      <w:bCs/>
      <w:kern w:val="2"/>
      <w:sz w:val="24"/>
      <w:szCs w:val="32"/>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ListBullet">
    <w:name w:val="List Bullet"/>
    <w:basedOn w:val="Normal"/>
    <w:qFormat/>
    <w:pPr>
      <w:numPr>
        <w:ilvl w:val="0"/>
        <w:numId w:val="11"/>
      </w:numPr>
      <w:tabs>
        <w:tab w:val="clear" w:pos="720"/>
      </w:tabs>
    </w:pPr>
    <w:rPr>
      <w:rFonts w:ascii="Times New Roman" w:hAnsi="Times New Roman" w:cs="Times New Roman"/>
      <w:sz w:val="24"/>
    </w:rPr>
  </w:style>
  <w:style w:type="paragraph" w:styleId="ListBullet2">
    <w:name w:val="List Bullet 2"/>
    <w:basedOn w:val="Normal"/>
    <w:qFormat/>
    <w:pPr>
      <w:numPr>
        <w:ilvl w:val="0"/>
        <w:numId w:val="9"/>
      </w:numPr>
      <w:tabs>
        <w:tab w:val="clear" w:pos="720"/>
      </w:tabs>
    </w:pPr>
    <w:rPr>
      <w:rFonts w:ascii="Times New Roman" w:hAnsi="Times New Roman" w:cs="Times New Roman"/>
      <w:sz w:val="24"/>
    </w:rPr>
  </w:style>
  <w:style w:type="paragraph" w:styleId="ListBullet3">
    <w:name w:val="List Bullet 3"/>
    <w:basedOn w:val="Normal"/>
    <w:qFormat/>
    <w:pPr>
      <w:numPr>
        <w:ilvl w:val="0"/>
        <w:numId w:val="8"/>
      </w:numPr>
      <w:tabs>
        <w:tab w:val="clear" w:pos="720"/>
      </w:tabs>
    </w:pPr>
    <w:rPr>
      <w:rFonts w:ascii="Times New Roman" w:hAnsi="Times New Roman" w:cs="Times New Roman"/>
      <w:sz w:val="24"/>
    </w:rPr>
  </w:style>
  <w:style w:type="paragraph" w:styleId="ListBullet4">
    <w:name w:val="List Bullet 4"/>
    <w:basedOn w:val="Normal"/>
    <w:qFormat/>
    <w:pPr>
      <w:numPr>
        <w:ilvl w:val="0"/>
        <w:numId w:val="7"/>
      </w:numPr>
      <w:tabs>
        <w:tab w:val="clear" w:pos="720"/>
      </w:tabs>
    </w:pPr>
    <w:rPr>
      <w:rFonts w:ascii="Times New Roman" w:hAnsi="Times New Roman" w:cs="Times New Roman"/>
      <w:sz w:val="24"/>
    </w:rPr>
  </w:style>
  <w:style w:type="paragraph" w:styleId="ListBullet5">
    <w:name w:val="List Bullet 5"/>
    <w:basedOn w:val="Normal"/>
    <w:qFormat/>
    <w:pPr>
      <w:numPr>
        <w:ilvl w:val="0"/>
        <w:numId w:val="6"/>
      </w:numPr>
      <w:tabs>
        <w:tab w:val="clear" w:pos="720"/>
      </w:tabs>
    </w:pPr>
    <w:rPr>
      <w:rFonts w:ascii="Times New Roman" w:hAnsi="Times New Roman" w:cs="Times New Roman"/>
      <w:sz w:val="24"/>
    </w:rPr>
  </w:style>
  <w:style w:type="paragraph" w:styleId="ListNumber">
    <w:name w:val="List Number"/>
    <w:basedOn w:val="Normal"/>
    <w:qFormat/>
    <w:pPr>
      <w:numPr>
        <w:ilvl w:val="0"/>
        <w:numId w:val="10"/>
      </w:numPr>
      <w:tabs>
        <w:tab w:val="clear" w:pos="720"/>
      </w:tabs>
    </w:pPr>
    <w:rPr>
      <w:rFonts w:ascii="Times New Roman" w:hAnsi="Times New Roman" w:cs="Times New Roman"/>
      <w:sz w:val="24"/>
    </w:rPr>
  </w:style>
  <w:style w:type="paragraph" w:styleId="ListNumber2">
    <w:name w:val="List Number 2"/>
    <w:basedOn w:val="Normal"/>
    <w:qFormat/>
    <w:pPr>
      <w:numPr>
        <w:ilvl w:val="0"/>
        <w:numId w:val="5"/>
      </w:numPr>
      <w:tabs>
        <w:tab w:val="clear" w:pos="720"/>
      </w:tabs>
    </w:pPr>
    <w:rPr>
      <w:rFonts w:ascii="Times New Roman" w:hAnsi="Times New Roman" w:cs="Times New Roman"/>
      <w:sz w:val="24"/>
    </w:rPr>
  </w:style>
  <w:style w:type="paragraph" w:styleId="ListNumber3">
    <w:name w:val="List Number 3"/>
    <w:basedOn w:val="Normal"/>
    <w:qFormat/>
    <w:pPr>
      <w:numPr>
        <w:ilvl w:val="0"/>
        <w:numId w:val="4"/>
      </w:numPr>
      <w:tabs>
        <w:tab w:val="clear" w:pos="720"/>
      </w:tabs>
    </w:pPr>
    <w:rPr>
      <w:rFonts w:ascii="Times New Roman" w:hAnsi="Times New Roman" w:cs="Times New Roman"/>
      <w:sz w:val="24"/>
    </w:rPr>
  </w:style>
  <w:style w:type="paragraph" w:styleId="ListNumber4">
    <w:name w:val="List Number 4"/>
    <w:basedOn w:val="Normal"/>
    <w:qFormat/>
    <w:pPr>
      <w:numPr>
        <w:ilvl w:val="0"/>
        <w:numId w:val="3"/>
      </w:numPr>
      <w:tabs>
        <w:tab w:val="clear" w:pos="720"/>
      </w:tabs>
    </w:pPr>
    <w:rPr>
      <w:rFonts w:ascii="Times New Roman" w:hAnsi="Times New Roman" w:cs="Times New Roman"/>
      <w:sz w:val="24"/>
    </w:rPr>
  </w:style>
  <w:style w:type="paragraph" w:styleId="ListNumber5">
    <w:name w:val="List Number 5"/>
    <w:basedOn w:val="Normal"/>
    <w:qFormat/>
    <w:pPr>
      <w:numPr>
        <w:ilvl w:val="0"/>
        <w:numId w:val="2"/>
      </w:numPr>
      <w:tabs>
        <w:tab w:val="clear" w:pos="720"/>
      </w:tabs>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2001-05-25T13:09:00Z</dcterms:created>
  <dc:creator>ECT</dc:creator>
  <dc:description/>
  <dc:language>en-CA</dc:language>
  <cp:lastModifiedBy>ccastil</cp:lastModifiedBy>
  <cp:lastPrinted>2001-05-25T12:37:00Z</cp:lastPrinted>
  <dcterms:modified xsi:type="dcterms:W3CDTF">2001-05-25T15:11:00Z</dcterms:modified>
  <cp:revision>11</cp:revision>
  <dc:subject/>
  <dc:title>Services Agreement</dc:title>
</cp:coreProperties>
</file>