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Unicode MS" w:hAnsi="Arial Unicode MS" w:eastAsia="Arial Unicode MS" w:cs="Arial Unicode MS"/>
        </w:rPr>
      </w:pPr>
      <w:r>
        <w:rPr/>
        <w:br/>
      </w:r>
      <w:r>
        <w:rPr>
          <w:rFonts w:cs="Book Antiqua" w:ascii="Book Antiqua" w:hAnsi="Book Antiqua"/>
          <w:b/>
          <w:bCs/>
          <w:sz w:val="27"/>
          <w:szCs w:val="27"/>
        </w:rPr>
        <w:t>ACCOUNTING BY PROVIDERS OF</w:t>
      </w:r>
      <w:r>
        <w:rPr/>
        <w:br/>
      </w:r>
      <w:r>
        <w:rPr>
          <w:rFonts w:cs="Book Antiqua" w:ascii="Book Antiqua" w:hAnsi="Book Antiqua"/>
          <w:b/>
          <w:bCs/>
          <w:sz w:val="27"/>
          <w:szCs w:val="27"/>
        </w:rPr>
        <w:t>TELECOMMUNICATIONS NETWORK CAPACITY</w:t>
      </w:r>
    </w:p>
    <w:p>
      <w:pPr>
        <w:pStyle w:val="Normal"/>
        <w:rPr>
          <w:rFonts w:ascii="Arial Unicode MS" w:hAnsi="Arial Unicode MS" w:eastAsia="Arial Unicode MS" w:cs="Arial Unicode MS"/>
        </w:rPr>
      </w:pPr>
      <w:r>
        <w:rPr>
          <w:rFonts w:eastAsia="Arial Unicode MS" w:cs="Arial Unicode MS" w:ascii="Arial Unicode MS" w:hAnsi="Arial Unicode MS"/>
        </w:rPr>
      </w:r>
    </w:p>
    <w:tbl>
      <w:tblPr>
        <w:tblW w:w="5000" w:type="pct"/>
        <w:jc w:val="start"/>
        <w:tblInd w:w="-45" w:type="dxa"/>
        <w:tblLayout w:type="fixed"/>
        <w:tblCellMar>
          <w:top w:w="15" w:type="dxa"/>
          <w:start w:w="15" w:type="dxa"/>
          <w:bottom w:w="15" w:type="dxa"/>
          <w:end w:w="15" w:type="dxa"/>
        </w:tblCellMar>
      </w:tblPr>
      <w:tblGrid>
        <w:gridCol w:w="8640"/>
      </w:tblGrid>
      <w:tr>
        <w:trPr/>
        <w:tc>
          <w:tcPr>
            <w:tcW w:w="864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rFonts w:cs="Book Antiqua" w:ascii="Book Antiqua" w:hAnsi="Book Antiqua"/>
              </w:rPr>
              <w:t>The financial reporting for certain contractual agreements covered in this Paper continues to evolve, and our views may be subject to change. In particular, we understand</w:t>
            </w:r>
            <w:r>
              <w:rPr>
                <w:rFonts w:cs="Book Antiqua" w:ascii="Book Antiqua" w:hAnsi="Book Antiqua"/>
                <w:b/>
                <w:bCs/>
              </w:rPr>
              <w:t xml:space="preserve"> </w:t>
            </w:r>
            <w:r>
              <w:rPr>
                <w:rFonts w:cs="Book Antiqua" w:ascii="Book Antiqua" w:hAnsi="Book Antiqua"/>
              </w:rPr>
              <w:t xml:space="preserve">the SEC staff is focused on </w:t>
            </w:r>
            <w:r>
              <w:rPr>
                <w:rFonts w:cs="Book Antiqua" w:ascii="Book Antiqua" w:hAnsi="Book Antiqua"/>
                <w:i/>
                <w:iCs/>
              </w:rPr>
              <w:t>(a</w:t>
            </w:r>
            <w:r>
              <w:rPr>
                <w:rFonts w:cs="Book Antiqua" w:ascii="Book Antiqua" w:hAnsi="Book Antiqua"/>
              </w:rPr>
              <w:t>) whether network providers have some form of continuing involvement with the assets being sold that would preclude sales-type lease accounting, (</w:t>
            </w:r>
            <w:r>
              <w:rPr>
                <w:rFonts w:cs="Book Antiqua" w:ascii="Book Antiqua" w:hAnsi="Book Antiqua"/>
                <w:i/>
                <w:iCs/>
              </w:rPr>
              <w:t>b</w:t>
            </w:r>
            <w:r>
              <w:rPr>
                <w:rFonts w:cs="Book Antiqua" w:ascii="Book Antiqua" w:hAnsi="Book Antiqua"/>
              </w:rPr>
              <w:t xml:space="preserve">) whether it is possible to account separately for different parts of a bundled contractual agreement (for example, is it appropriate to account for the fiber optic cable separately from the conduit when the right to use both assets is part of the same contractual agreement), and </w:t>
            </w:r>
            <w:r>
              <w:rPr>
                <w:rFonts w:cs="Book Antiqua" w:ascii="Book Antiqua" w:hAnsi="Book Antiqua"/>
                <w:i/>
                <w:iCs/>
              </w:rPr>
              <w:t>(c)</w:t>
            </w:r>
            <w:r>
              <w:rPr>
                <w:rFonts w:cs="Book Antiqua" w:ascii="Book Antiqua" w:hAnsi="Book Antiqua"/>
              </w:rPr>
              <w:t xml:space="preserve"> whether a network capacity contract may comprise a lease of an undivided interest. The ultimate resolution of those issues may have a significant effect on the financial reporting of some network capacity providers.</w:t>
            </w:r>
          </w:p>
        </w:tc>
      </w:tr>
    </w:tbl>
    <w:p>
      <w:pPr>
        <w:pStyle w:val="Normal"/>
        <w:rPr>
          <w:color w:val="000000"/>
        </w:rPr>
      </w:pPr>
      <w:r>
        <w:rPr/>
        <w:br/>
      </w:r>
      <w:r>
        <w:rPr>
          <w:rFonts w:cs="Book Antiqua" w:ascii="Book Antiqua" w:hAnsi="Book Antiqua"/>
          <w:sz w:val="20"/>
          <w:szCs w:val="20"/>
        </w:rPr>
        <w:t xml:space="preserve">This Paper is designed to provide accurate and authoritative information in regard to the subject matter covered. It is provided with the understanding that it does not constitute legal, accounting, or other professional advice. If legal or other expert assistance is required, the services of a competent professional person should be sought. The analysis and materials contained herein are the opinions of the authors and should in no way be construed as being either official or unofficial policy of any governmental body, the author, or publishers. All forms, lists and reference material provided in this Paper are given for the purpose of explanation only and should not be solely relied on as the most recent material available due to delays between availability of material and distribution. </w:t>
      </w:r>
      <w:r>
        <w:rPr/>
        <w:br/>
        <w:br/>
      </w:r>
      <w:r>
        <w:rPr>
          <w:rFonts w:cs="Book Antiqua" w:ascii="Book Antiqua" w:hAnsi="Book Antiqua"/>
          <w:b/>
          <w:bCs/>
        </w:rPr>
        <w:t>1. Scope</w:t>
      </w:r>
      <w:r>
        <w:rPr/>
        <w:br/>
        <w:br/>
      </w:r>
      <w:r>
        <w:rPr>
          <w:rFonts w:cs="Book Antiqua" w:ascii="Book Antiqua" w:hAnsi="Book Antiqua"/>
        </w:rPr>
        <w:t>Providers of telecommunications network capacity (primarily in the form of conduit, fiber optic cables and related equipment) often grant rights to capacity on the basis of an indefeasible right of use (IRU).</w:t>
      </w:r>
      <w:r>
        <w:rPr/>
        <w:br/>
        <w:br/>
      </w:r>
      <w:r>
        <w:rPr>
          <w:rFonts w:cs="Book Antiqua" w:ascii="Book Antiqua" w:hAnsi="Book Antiqua"/>
        </w:rPr>
        <w:t>An IRU is a right to use a specified amount of capacity for a specified time period. The "indefeasible right" is one that cannot be revoked or voided. An acquirer of an IRU has the exclusive right to use the capacity represented by the IRU. It may use the capacity, leave it idle, or allow third parties to use some or all of it in return for payments or otherwise.</w:t>
      </w:r>
      <w:r>
        <w:rPr/>
        <w:br/>
        <w:br/>
      </w:r>
      <w:r>
        <w:rPr>
          <w:rFonts w:cs="Book Antiqua" w:ascii="Book Antiqua" w:hAnsi="Book Antiqua"/>
        </w:rPr>
        <w:t>This paper is concerned with the accounting for the provision of network capacity through an IRU.</w:t>
      </w:r>
      <w:r>
        <w:rPr/>
        <w:br/>
        <w:br/>
        <w:br/>
      </w:r>
      <w:r>
        <w:rPr>
          <w:rFonts w:cs="Book Antiqua" w:ascii="Book Antiqua" w:hAnsi="Book Antiqua"/>
          <w:b/>
          <w:bCs/>
        </w:rPr>
        <w:t xml:space="preserve">2. Revenue </w:t>
      </w:r>
      <w:r>
        <w:rPr/>
        <w:br/>
        <w:br/>
      </w:r>
      <w:r>
        <w:rPr>
          <w:rFonts w:cs="Book Antiqua" w:ascii="Book Antiqua" w:hAnsi="Book Antiqua"/>
          <w:b/>
          <w:bCs/>
        </w:rPr>
        <w:t>2.A. Principles</w:t>
      </w:r>
      <w:r>
        <w:rPr/>
        <w:br/>
        <w:br/>
      </w:r>
      <w:r>
        <w:rPr>
          <w:rFonts w:cs="Book Antiqua" w:ascii="Book Antiqua" w:hAnsi="Book Antiqua"/>
        </w:rPr>
        <w:t>FASB Statement of Concepts No. 5, R</w:t>
      </w:r>
      <w:r>
        <w:rPr>
          <w:rFonts w:cs="Book Antiqua" w:ascii="Book Antiqua" w:hAnsi="Book Antiqua"/>
          <w:i/>
          <w:iCs/>
        </w:rPr>
        <w:t xml:space="preserve">ecognition and Measurement in Financial Statements of Business Enterprises </w:t>
      </w:r>
      <w:r>
        <w:rPr>
          <w:color w:val="0000FF"/>
        </w:rPr>
        <w:drawing>
          <wp:inline distT="0" distB="0" distL="0" distR="0">
            <wp:extent cx="114300" cy="133350"/>
            <wp:effectExtent l="0" t="0" r="0" b="0"/>
            <wp:docPr id="1" name="doclink"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link" descr="" title="">
                      <a:hlinkClick r:id="rId3"/>
                    </pic:cNvPr>
                    <pic:cNvPicPr>
                      <a:picLocks noChangeAspect="1" noChangeArrowheads="1"/>
                    </pic:cNvPicPr>
                  </pic:nvPicPr>
                  <pic:blipFill>
                    <a:blip r:embed="rId2"/>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rPr>
        <w:t>,</w:t>
      </w:r>
      <w:r>
        <w:rPr>
          <w:rFonts w:cs="Book Antiqua" w:ascii="Book Antiqua" w:hAnsi="Book Antiqua"/>
        </w:rPr>
        <w:t xml:space="preserve"> states that:</w:t>
      </w:r>
    </w:p>
    <w:p>
      <w:pPr>
        <w:pStyle w:val="Normal"/>
        <w:ind w:start="720" w:end="0"/>
        <w:rPr>
          <w:rFonts w:ascii="Book Antiqua" w:hAnsi="Book Antiqua" w:cs="Book Antiqua"/>
          <w:sz w:val="20"/>
          <w:szCs w:val="20"/>
        </w:rPr>
      </w:pPr>
      <w:r>
        <w:rPr>
          <w:rFonts w:cs="Book Antiqua" w:ascii="Book Antiqua" w:hAnsi="Book Antiqua"/>
          <w:sz w:val="20"/>
          <w:szCs w:val="20"/>
        </w:rPr>
        <w:t>Revenues are generally not recognized until realized or realizable. Revenues are realized or realizable when products (goods or services), merchandise or other assets are exchanged for cash, claims to cash or assets which are readily convertible to known amounts of cash or claims to cash.</w:t>
      </w:r>
    </w:p>
    <w:p>
      <w:pPr>
        <w:pStyle w:val="Normal"/>
        <w:ind w:start="720" w:end="0"/>
        <w:rPr>
          <w:rFonts w:ascii="Book Antiqua" w:hAnsi="Book Antiqua" w:cs="Book Antiqua"/>
          <w:sz w:val="20"/>
          <w:szCs w:val="20"/>
        </w:rPr>
      </w:pPr>
      <w:r>
        <w:rPr>
          <w:rFonts w:cs="Book Antiqua" w:ascii="Book Antiqua" w:hAnsi="Book Antiqua"/>
          <w:sz w:val="20"/>
          <w:szCs w:val="20"/>
        </w:rPr>
        <w:t>Revenues are not recognized until earned. Revenues are considered to be earned when the entity has substantially completed what it must do to be entitled to the benefits represented by the revenues.</w:t>
      </w:r>
    </w:p>
    <w:p>
      <w:pPr>
        <w:pStyle w:val="Normal"/>
        <w:rPr/>
      </w:pPr>
      <w:r>
        <w:rPr/>
        <w:br/>
        <w:br/>
        <w:br/>
      </w:r>
      <w:r>
        <w:rPr>
          <w:rFonts w:cs="Book Antiqua" w:ascii="Book Antiqua" w:hAnsi="Book Antiqua"/>
          <w:b/>
          <w:bCs/>
          <w:highlight w:val="yellow"/>
        </w:rPr>
        <w:t>2.B. Service Contract or Lease</w:t>
      </w:r>
      <w:r>
        <w:rPr/>
        <w:br/>
        <w:br/>
      </w:r>
      <w:r>
        <w:rPr>
          <w:rFonts w:cs="Book Antiqua" w:ascii="Book Antiqua" w:hAnsi="Book Antiqua"/>
        </w:rPr>
        <w:t xml:space="preserve">(Updated September 2001 </w:t>
      </w:r>
      <w:r>
        <w:rPr>
          <w:color w:val="0000FF"/>
        </w:rPr>
        <w:drawing>
          <wp:inline distT="0" distB="0" distL="0" distR="0">
            <wp:extent cx="114300" cy="133350"/>
            <wp:effectExtent l="0" t="0" r="0" b="0"/>
            <wp:docPr id="2" name="Image1" descr="" ti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a:hlinkClick r:id="rId5"/>
                    </pic:cNvPr>
                    <pic:cNvPicPr>
                      <a:picLocks noChangeAspect="1" noChangeArrowheads="1"/>
                    </pic:cNvPicPr>
                  </pic:nvPicPr>
                  <pic:blipFill>
                    <a:blip r:embed="rId4"/>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December 2000 </w:t>
      </w:r>
      <w:r>
        <w:rPr>
          <w:color w:val="0000FF"/>
        </w:rPr>
        <w:drawing>
          <wp:inline distT="0" distB="0" distL="0" distR="0">
            <wp:extent cx="114300" cy="133350"/>
            <wp:effectExtent l="0" t="0" r="0" b="0"/>
            <wp:docPr id="3" name="Image2" descr="" tit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a:hlinkClick r:id="rId7"/>
                    </pic:cNvPr>
                    <pic:cNvPicPr>
                      <a:picLocks noChangeAspect="1" noChangeArrowheads="1"/>
                    </pic:cNvPicPr>
                  </pic:nvPicPr>
                  <pic:blipFill>
                    <a:blip r:embed="rId6"/>
                    <a:srcRect l="-314" t="-270" r="-314" b="-270"/>
                    <a:stretch>
                      <a:fillRect/>
                    </a:stretch>
                  </pic:blipFill>
                  <pic:spPr bwMode="auto">
                    <a:xfrm>
                      <a:off x="0" y="0"/>
                      <a:ext cx="114300" cy="133350"/>
                    </a:xfrm>
                    <a:prstGeom prst="rect">
                      <a:avLst/>
                    </a:prstGeom>
                    <a:noFill/>
                  </pic:spPr>
                </pic:pic>
              </a:graphicData>
            </a:graphic>
          </wp:inline>
        </w:drawing>
      </w:r>
      <w:r>
        <w:rPr>
          <w:rFonts w:cs="Arial" w:ascii="Arial" w:hAnsi="Arial"/>
          <w:sz w:val="20"/>
          <w:szCs w:val="20"/>
        </w:rPr>
        <w:t>)</w:t>
      </w:r>
      <w:r>
        <w:rPr/>
        <w:br/>
        <w:br/>
      </w:r>
      <w:r>
        <w:rPr>
          <w:rFonts w:cs="Book Antiqua" w:ascii="Book Antiqua" w:hAnsi="Book Antiqua"/>
        </w:rPr>
        <w:t>A key issue is whether the provision of network capacity to the user is a contract for the provision of a service or a lease.</w:t>
      </w:r>
      <w:r>
        <w:rPr/>
        <w:br/>
        <w:br/>
      </w:r>
      <w:r>
        <w:rPr>
          <w:rFonts w:cs="Book Antiqua" w:ascii="Book Antiqua" w:hAnsi="Book Antiqua"/>
        </w:rPr>
        <w:t xml:space="preserve">Service contracts may have attributes similar to those embodied in a lease. Paragraph 1 </w:t>
      </w:r>
      <w:r>
        <w:rPr>
          <w:color w:val="0000FF"/>
        </w:rPr>
        <w:drawing>
          <wp:inline distT="0" distB="0" distL="0" distR="0">
            <wp:extent cx="114300" cy="133350"/>
            <wp:effectExtent l="0" t="0" r="0" b="0"/>
            <wp:docPr id="4" name="Image3" descr="" tit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a:hlinkClick r:id="rId9"/>
                    </pic:cNvPr>
                    <pic:cNvPicPr>
                      <a:picLocks noChangeAspect="1" noChangeArrowheads="1"/>
                    </pic:cNvPicPr>
                  </pic:nvPicPr>
                  <pic:blipFill>
                    <a:blip r:embed="rId8"/>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FASB Statement of Financial Accounting Standards No. 13, </w:t>
      </w:r>
      <w:r>
        <w:rPr>
          <w:rFonts w:cs="Book Antiqua" w:ascii="Book Antiqua" w:hAnsi="Book Antiqua"/>
          <w:i/>
          <w:iCs/>
        </w:rPr>
        <w:t>Accounting for Leases,</w:t>
      </w:r>
      <w:r>
        <w:rPr>
          <w:rFonts w:cs="Book Antiqua" w:ascii="Book Antiqua" w:hAnsi="Book Antiqua"/>
        </w:rPr>
        <w:t xml:space="preserve"> (Statement 13) defines a lease as:</w:t>
      </w:r>
    </w:p>
    <w:p>
      <w:pPr>
        <w:pStyle w:val="Normal"/>
        <w:ind w:start="720" w:end="0"/>
        <w:rPr>
          <w:rFonts w:ascii="Book Antiqua" w:hAnsi="Book Antiqua" w:cs="Book Antiqua"/>
          <w:sz w:val="20"/>
          <w:szCs w:val="20"/>
        </w:rPr>
      </w:pPr>
      <w:r>
        <w:rPr>
          <w:rFonts w:cs="Book Antiqua" w:ascii="Book Antiqua" w:hAnsi="Book Antiqua"/>
          <w:sz w:val="20"/>
          <w:szCs w:val="20"/>
        </w:rPr>
        <w:t>... an agreement conveying the right to use property, plant or equipment (land and/or depreciable assets) usually for a stated period of time … This definition does not include agreements that are contracts for services that do not transfer the right to use property, plant or equipment from one contracting party to the other. On the other hand, agreements that do transfer the right to use property, plant or equipment meet the definition of a lease for purposes of this Statement even though substantial services by the contractor (lessor) may be called for in connection with the operation or maintenance of such assets …</w:t>
      </w:r>
    </w:p>
    <w:p>
      <w:pPr>
        <w:pStyle w:val="Normal"/>
        <w:rPr/>
      </w:pPr>
      <w:r>
        <w:rPr>
          <w:rFonts w:cs="Book Antiqua" w:ascii="Book Antiqua" w:hAnsi="Book Antiqua"/>
        </w:rPr>
        <w:t>For example, a transportation service contract is an agreement between a purchaser and a seller under which the purchaser agrees to pay specified amounts periodically in return for transportation services. Under such a contract, the seller agrees to transport a fixed amount of goods from point A to point B and the purchaser must make specified minimum payments, even if it does not use the contracted services. However, in contrast to a lease (which conveys "the right to use property, plant or equipment"), the transportation services agreement allows the seller to use whatever combination of assets (trucks, trains, airplanes, or barges) is most efficient for the seller, as long as the seller meets its contractual obligations for transit time and so forth.</w:t>
      </w:r>
      <w:r>
        <w:rPr/>
        <w:br/>
        <w:br/>
      </w:r>
      <w:r>
        <w:rPr>
          <w:rFonts w:cs="Book Antiqua" w:ascii="Book Antiqua" w:hAnsi="Book Antiqua"/>
        </w:rPr>
        <w:t xml:space="preserve">In the November 1998 edition of </w:t>
      </w:r>
      <w:r>
        <w:rPr>
          <w:rFonts w:cs="Book Antiqua" w:ascii="Book Antiqua" w:hAnsi="Book Antiqua"/>
          <w:i/>
          <w:iCs/>
        </w:rPr>
        <w:t>Current Issues and Rule-Making Projects</w:t>
      </w:r>
      <w:r>
        <w:rPr>
          <w:rFonts w:cs="Book Antiqua" w:ascii="Book Antiqua" w:hAnsi="Book Antiqua"/>
        </w:rPr>
        <w:t>, the SEC staff states:</w:t>
      </w:r>
    </w:p>
    <w:p>
      <w:pPr>
        <w:pStyle w:val="Normal"/>
        <w:ind w:start="720" w:end="0"/>
        <w:rPr>
          <w:rFonts w:ascii="Book Antiqua" w:hAnsi="Book Antiqua" w:cs="Book Antiqua"/>
          <w:sz w:val="20"/>
          <w:szCs w:val="20"/>
        </w:rPr>
      </w:pPr>
      <w:r>
        <w:rPr>
          <w:rFonts w:cs="Book Antiqua" w:ascii="Book Antiqua" w:hAnsi="Book Antiqua"/>
          <w:sz w:val="20"/>
          <w:szCs w:val="20"/>
        </w:rPr>
        <w:t>Some hotel management companies have asserted that the agreements under which they manage hotel properties are, in substance, leases. As such, the arrangements are required to be accounted for pursuant to Statement 13. Accounting for a contract that is in substance a lease is not elective; the staff would expect all entities entering into substantially identical contracts to account for them in an identical manner. The staff believes that determining whether a contract is a service agreement or a lease is dependent on the facts and circumstances, and requires a rigorous analysis of the rights, obligations, risks and rewards of the management company and the property owner. The staff's experience has been that management agreements generally do not convey the same rights and obligations as a lease agreement.</w:t>
      </w:r>
    </w:p>
    <w:p>
      <w:pPr>
        <w:pStyle w:val="Normal"/>
        <w:rPr>
          <w:highlight w:val="yellow"/>
        </w:rPr>
      </w:pPr>
      <w:r>
        <w:rPr>
          <w:rFonts w:cs="Book Antiqua" w:ascii="Book Antiqua" w:hAnsi="Book Antiqua"/>
          <w:highlight w:val="yellow"/>
        </w:rPr>
        <w:t>The Firm believes a network capacity contract with all of the following characteristics should be accounted for as a lease:</w:t>
      </w:r>
    </w:p>
    <w:p>
      <w:pPr>
        <w:pStyle w:val="Normal"/>
        <w:ind w:start="720" w:end="0"/>
        <w:rPr>
          <w:highlight w:val="yellow"/>
        </w:rPr>
      </w:pPr>
      <w:r>
        <w:rPr>
          <w:highlight w:val="yellow"/>
        </w:rPr>
        <w:t xml:space="preserve">1. </w:t>
      </w:r>
      <w:r>
        <w:rPr>
          <w:rFonts w:cs="Book Antiqua" w:ascii="Book Antiqua" w:hAnsi="Book Antiqua"/>
          <w:highlight w:val="yellow"/>
        </w:rPr>
        <w:t xml:space="preserve">The purchaser has an exclusive right to the purchased capacity for a specified period: the provider cannot sell or otherwise use any of the purchaser's capacity that the purchaser is not using. Generally, the purchaser has the ability to resell (or sublet) its purchased capacity and the sub-purchaser would acquire the identical unit of capacity or part thereof. </w:t>
      </w:r>
    </w:p>
    <w:p>
      <w:pPr>
        <w:pStyle w:val="NormalWeb"/>
        <w:ind w:start="720" w:end="0"/>
        <w:rPr/>
      </w:pPr>
      <w:r>
        <w:rPr>
          <w:highlight w:val="yellow"/>
        </w:rPr>
        <w:t xml:space="preserve">2. </w:t>
      </w:r>
      <w:r>
        <w:rPr>
          <w:rFonts w:cs="Book Antiqua" w:ascii="Book Antiqua" w:hAnsi="Book Antiqua"/>
          <w:highlight w:val="yellow"/>
        </w:rPr>
        <w:t>The purchased capacity is physically limited to a specified fiber and wavelength of light within the cable and a specified amount of capacity, which cannot be exceeded. The provider cannot move the purchased capacity to another fiber or wavelength of light without the purchaser's permission.</w:t>
      </w:r>
      <w:r>
        <w:rPr>
          <w:highlight w:val="yellow"/>
        </w:rPr>
        <w:t xml:space="preserve"> </w:t>
      </w:r>
    </w:p>
    <w:p>
      <w:pPr>
        <w:pStyle w:val="NormalWeb"/>
        <w:ind w:start="720" w:end="0"/>
        <w:rPr/>
      </w:pPr>
      <w:r>
        <w:rPr>
          <w:highlight w:val="yellow"/>
        </w:rPr>
        <w:t xml:space="preserve">3. </w:t>
      </w:r>
      <w:r>
        <w:rPr>
          <w:rFonts w:cs="Book Antiqua" w:ascii="Book Antiqua" w:hAnsi="Book Antiqua"/>
          <w:highlight w:val="yellow"/>
        </w:rPr>
        <w:t>The purchaser pays, directly or indirectly, for operation, administration, and maintenance costs relating to the purchased capacity during the contract term.</w:t>
      </w:r>
      <w:r>
        <w:rPr>
          <w:highlight w:val="yellow"/>
        </w:rPr>
        <w:t xml:space="preserve"> </w:t>
      </w:r>
    </w:p>
    <w:p>
      <w:pPr>
        <w:pStyle w:val="NormalWeb"/>
        <w:ind w:start="720" w:end="0"/>
        <w:rPr>
          <w:highlight w:val="yellow"/>
        </w:rPr>
      </w:pPr>
      <w:r>
        <w:rPr>
          <w:highlight w:val="yellow"/>
        </w:rPr>
        <w:t xml:space="preserve">4. </w:t>
      </w:r>
      <w:r>
        <w:rPr>
          <w:rFonts w:cs="Book Antiqua" w:ascii="Book Antiqua" w:hAnsi="Book Antiqua"/>
          <w:highlight w:val="yellow"/>
        </w:rPr>
        <w:t>The purchaser has the risk of obsolescence of the purchased capacity during the contract term.</w:t>
      </w:r>
    </w:p>
    <w:p>
      <w:pPr>
        <w:pStyle w:val="Normal"/>
        <w:rPr/>
      </w:pPr>
      <w:r>
        <w:rPr>
          <w:rFonts w:cs="Book Antiqua" w:ascii="Book Antiqua" w:hAnsi="Book Antiqua"/>
          <w:highlight w:val="yellow"/>
        </w:rPr>
        <w:t>Whether the purchaser under the contract has the right to use identifiable assets is critical to classification as a lease. For example, assume a contractual arrangement gives the customer the benefit of capacity between A and B but the provider can meet its obligations by routing the customer's traffic down the AB cable, the AXYB cable or the ACDB cable depending on utilization. Such an arrangement would not qualify as a lease.</w:t>
      </w:r>
      <w:r>
        <w:rPr>
          <w:rFonts w:cs="Book Antiqua" w:ascii="Book Antiqua" w:hAnsi="Book Antiqua"/>
        </w:rPr>
        <w:t xml:space="preserve"> </w:t>
      </w:r>
      <w:r>
        <w:rPr/>
        <w:br/>
        <w:br/>
      </w:r>
      <w:r>
        <w:rPr>
          <w:rFonts w:cs="Book Antiqua" w:ascii="Book Antiqua" w:hAnsi="Book Antiqua"/>
        </w:rPr>
        <w:t>The fact that the lessor may be obligated by the same contract to provide additional services simply means that the service elements need to be distinguished and accounted for separately from the lease. Each arrangement needs to be considered based on its individual facts and circumstances.</w:t>
      </w:r>
      <w:r>
        <w:rPr/>
        <w:br/>
        <w:br/>
      </w:r>
      <w:r>
        <w:rPr>
          <w:rFonts w:cs="Book Antiqua" w:ascii="Book Antiqua" w:hAnsi="Book Antiqua"/>
        </w:rPr>
        <w:t xml:space="preserve">Certain contracts provide the buyer with the right to use identifiable assets on one segment (for example, a segment between location A and location B), but permit the buyer to forego its right to use the original segment for the opportunity to use other identifiable assets (for example, a segment between location A and location C). Such an arrangement may be referred to as a "portable IRU." Although the buyer can only use one segment (that is, specific identifiable assets) at any given point, we believe that portable IRU arrangements cannot meet Statement 13's </w:t>
      </w:r>
      <w:r>
        <w:rPr>
          <w:color w:val="0000FF"/>
        </w:rPr>
        <w:drawing>
          <wp:inline distT="0" distB="0" distL="0" distR="0">
            <wp:extent cx="114300" cy="133350"/>
            <wp:effectExtent l="0" t="0" r="0" b="0"/>
            <wp:docPr id="5" name="Image4"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a:hlinkClick r:id="rId11"/>
                    </pic:cNvPr>
                    <pic:cNvPicPr>
                      <a:picLocks noChangeAspect="1" noChangeArrowheads="1"/>
                    </pic:cNvPicPr>
                  </pic:nvPicPr>
                  <pic:blipFill>
                    <a:blip r:embed="rId10"/>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definition of capital lease (which includes a sales-type lease) because neither the buyer nor the seller know specifically which identifiable assets will be used during the entire term of the contract. (Depending on the contract's specific terms, the IRU could be an operating lease or a service contract.)</w:t>
      </w:r>
      <w:r>
        <w:rPr/>
        <w:br/>
        <w:br/>
      </w:r>
      <w:r>
        <w:rPr>
          <w:rFonts w:cs="Book Antiqua" w:ascii="Book Antiqua" w:hAnsi="Book Antiqua"/>
        </w:rPr>
        <w:t>Network capacity contracts that do not meet the definition of a lease should be accounted for as service contracts.</w:t>
      </w:r>
      <w:r>
        <w:rPr/>
        <w:br/>
        <w:br/>
      </w:r>
      <w:r>
        <w:rPr>
          <w:rFonts w:cs="Book Antiqua" w:ascii="Book Antiqua" w:hAnsi="Book Antiqua"/>
        </w:rPr>
        <w:t xml:space="preserve">(Refer to Appendix 3 </w:t>
      </w:r>
      <w:r>
        <w:rPr>
          <w:color w:val="0000FF"/>
        </w:rPr>
        <w:drawing>
          <wp:inline distT="0" distB="0" distL="0" distR="0">
            <wp:extent cx="114300" cy="133350"/>
            <wp:effectExtent l="0" t="0" r="0" b="0"/>
            <wp:docPr id="6" name="Image5" descr="" tit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a:hlinkClick r:id="rId13"/>
                    </pic:cNvPr>
                    <pic:cNvPicPr>
                      <a:picLocks noChangeAspect="1" noChangeArrowheads="1"/>
                    </pic:cNvPicPr>
                  </pic:nvPicPr>
                  <pic:blipFill>
                    <a:blip r:embed="rId12"/>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which provides a flowchart to aid in the determination, from the seller's perspective, of whether an IRU is a lease.)</w:t>
      </w:r>
      <w:r>
        <w:rPr/>
        <w:br/>
        <w:br/>
      </w:r>
      <w:r>
        <w:rPr>
          <w:rFonts w:cs="Book Antiqua" w:ascii="Book Antiqua" w:hAnsi="Book Antiqua"/>
        </w:rPr>
        <w:t>*****</w:t>
      </w:r>
      <w:r>
        <w:rPr/>
        <w:br/>
        <w:br/>
      </w:r>
      <w:r>
        <w:rPr>
          <w:rFonts w:cs="Book Antiqua" w:ascii="Book Antiqua" w:hAnsi="Book Antiqua"/>
        </w:rPr>
        <w:t>At the November 15-16, 1999, Global Capacity Providers CFO Roundtable (the CFO Roundtable), Eric Casey of the SEC staff made the following remarks on this issue:</w:t>
      </w:r>
    </w:p>
    <w:p>
      <w:pPr>
        <w:pStyle w:val="Normal"/>
        <w:ind w:start="720" w:end="0"/>
        <w:rPr>
          <w:rFonts w:ascii="Book Antiqua" w:hAnsi="Book Antiqua" w:cs="Book Antiqua"/>
          <w:sz w:val="20"/>
          <w:szCs w:val="20"/>
        </w:rPr>
      </w:pPr>
      <w:r>
        <w:rPr>
          <w:rFonts w:cs="Book Antiqua" w:ascii="Book Antiqua" w:hAnsi="Book Antiqua"/>
          <w:sz w:val="20"/>
          <w:szCs w:val="20"/>
        </w:rPr>
        <w:t>As practice continues to develop, however, this model [the model set out in the AA White Paper] raises a number of questions, which the staff has not yet addressed in live registrant fact patterns. For example, assume a capacity contract transfers to the purchaser a one-tenth undivided interest in the entire network for a stated period of time, say 10 years. Further assume that title to the undivided interest does not transfer, so at the end of the 10 years the undivided interest terminates. Is this capacity agreement a lease or a service contract?</w:t>
      </w:r>
    </w:p>
    <w:p>
      <w:pPr>
        <w:pStyle w:val="Normal"/>
        <w:ind w:start="720" w:end="0"/>
        <w:rPr/>
      </w:pPr>
      <w:r>
        <w:rPr>
          <w:rFonts w:cs="Book Antiqua" w:ascii="Book Antiqua" w:hAnsi="Book Antiqua"/>
          <w:sz w:val="20"/>
          <w:szCs w:val="20"/>
        </w:rPr>
        <w:t xml:space="preserve">FASB Statement 125 </w:t>
      </w:r>
      <w:r>
        <w:rPr>
          <w:color w:val="0000FF"/>
        </w:rPr>
        <w:drawing>
          <wp:inline distT="0" distB="0" distL="0" distR="0">
            <wp:extent cx="114300" cy="133350"/>
            <wp:effectExtent l="0" t="0" r="0" b="0"/>
            <wp:docPr id="7" name="Image6" descr="" tit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a:hlinkClick r:id="rId15"/>
                    </pic:cNvPr>
                    <pic:cNvPicPr>
                      <a:picLocks noChangeAspect="1" noChangeArrowheads="1"/>
                    </pic:cNvPicPr>
                  </pic:nvPicPr>
                  <pic:blipFill>
                    <a:blip r:embed="rId14"/>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defines an undivided interest as a tenancy in common interest. In looking to my college-era business law textbook, it appears to me that a tenancy in common interest is a tenancy shared by two or more persons in which each tenant is considered to be a holder of a separate and distinct share of the property. The property itself is not physically divided. Each tenant in common is equally entitled to the possession and enjoyment of the entire cotenancy property. A cotenant may not exclude another tenant from any part of the property. As long as a cotenant in possession does not exclude another cotenant, he is entitled to use and occupy every part of the property without paying any amount to the other cotenants.</w:t>
      </w:r>
    </w:p>
    <w:p>
      <w:pPr>
        <w:pStyle w:val="Normal"/>
        <w:ind w:start="720" w:end="0"/>
        <w:rPr>
          <w:rFonts w:ascii="Book Antiqua" w:hAnsi="Book Antiqua" w:cs="Book Antiqua"/>
          <w:sz w:val="20"/>
          <w:szCs w:val="20"/>
        </w:rPr>
      </w:pPr>
      <w:r>
        <w:rPr>
          <w:rFonts w:cs="Book Antiqua" w:ascii="Book Antiqua" w:hAnsi="Book Antiqua"/>
          <w:sz w:val="20"/>
          <w:szCs w:val="20"/>
        </w:rPr>
        <w:t>Preliminarily, on its face, it appears that a capacity contract conveying an undivided interest or tenancy in common interest, without a concurrent transfer of title, does not possess the characteristics practice has identified as being essential for a capacity contract to be considered a lease. Namely, it does not appear to convey an exclusive right to use specifically identifiable depreciable property.</w:t>
      </w:r>
    </w:p>
    <w:p>
      <w:pPr>
        <w:pStyle w:val="Normal"/>
        <w:ind w:start="720" w:end="0"/>
        <w:rPr>
          <w:rFonts w:ascii="Book Antiqua" w:hAnsi="Book Antiqua" w:cs="Book Antiqua"/>
          <w:sz w:val="20"/>
          <w:szCs w:val="20"/>
        </w:rPr>
      </w:pPr>
      <w:r>
        <w:rPr>
          <w:rFonts w:cs="Book Antiqua" w:ascii="Book Antiqua" w:hAnsi="Book Antiqua"/>
          <w:sz w:val="20"/>
          <w:szCs w:val="20"/>
        </w:rPr>
        <w:t>Taking it another step, what if the capacity purchaser had the right but not the obligation to purchase the undivided interest at the end of the 10-year term. Does that make the capacity contract a lease? A sale?</w:t>
      </w:r>
    </w:p>
    <w:p>
      <w:pPr>
        <w:pStyle w:val="Normal"/>
        <w:ind w:start="720" w:end="0"/>
        <w:rPr>
          <w:rFonts w:ascii="Book Antiqua" w:hAnsi="Book Antiqua" w:cs="Book Antiqua"/>
          <w:sz w:val="20"/>
          <w:szCs w:val="20"/>
        </w:rPr>
      </w:pPr>
      <w:r>
        <w:rPr>
          <w:rFonts w:cs="Book Antiqua" w:ascii="Book Antiqua" w:hAnsi="Book Antiqua"/>
          <w:sz w:val="20"/>
          <w:szCs w:val="20"/>
        </w:rPr>
        <w:t>What about portable IRUs? Are they leases or service contracts?</w:t>
      </w:r>
    </w:p>
    <w:p>
      <w:pPr>
        <w:pStyle w:val="Normal"/>
        <w:rPr/>
      </w:pPr>
      <w:r>
        <w:rPr>
          <w:rFonts w:cs="Book Antiqua" w:ascii="Book Antiqua" w:hAnsi="Book Antiqua"/>
        </w:rPr>
        <w:t xml:space="preserve">In January 2000, Arthur Andersen became aware that the SEC staff tentatively had reached the view that an IRU of lit fiber (lit fiber is the provision of fiber, plus associated opto-electronics, between two points) is likely not a lease and that therefore up-front revenue recognition is not appropriate. </w:t>
      </w:r>
      <w:r>
        <w:rPr/>
        <w:br/>
        <w:br/>
      </w:r>
      <w:r>
        <w:rPr>
          <w:rFonts w:cs="Book Antiqua" w:ascii="Book Antiqua" w:hAnsi="Book Antiqua"/>
        </w:rPr>
        <w:t>The staff's view appears to have been strongly influenced by the understanding it now believes it has of the technology involved.</w:t>
      </w:r>
      <w:r>
        <w:rPr/>
        <w:br/>
        <w:br/>
      </w:r>
      <w:r>
        <w:rPr>
          <w:rFonts w:cs="Book Antiqua" w:ascii="Book Antiqua" w:hAnsi="Book Antiqua"/>
        </w:rPr>
        <w:t>There are two primary techniques for increasing the "carrying capacity" of installed fiber:</w:t>
      </w:r>
    </w:p>
    <w:p>
      <w:pPr>
        <w:pStyle w:val="Normal"/>
        <w:ind w:start="720" w:end="0"/>
        <w:rPr/>
      </w:pPr>
      <w:r>
        <w:rPr/>
        <w:t xml:space="preserve">1. </w:t>
      </w:r>
      <w:r>
        <w:rPr>
          <w:rFonts w:cs="Book Antiqua" w:ascii="Book Antiqua" w:hAnsi="Book Antiqua"/>
        </w:rPr>
        <w:t xml:space="preserve">Time Division Multiplexing (TDM). TDM has been defined as "digital transmission technology which allows users to access a single radio frequency channel without interference by allocating unique time slots to each user within a </w:t>
      </w:r>
      <w:r>
        <w:rPr>
          <w:rFonts w:cs="Book Antiqua" w:ascii="Book Antiqua" w:hAnsi="Book Antiqua"/>
          <w:i/>
          <w:iCs/>
        </w:rPr>
        <w:t>channel.</w:t>
      </w:r>
      <w:r>
        <w:rPr>
          <w:rFonts w:cs="Book Antiqua" w:ascii="Book Antiqua" w:hAnsi="Book Antiqua"/>
        </w:rPr>
        <w:t>"</w:t>
      </w:r>
      <w:r>
        <w:rPr>
          <w:rFonts w:cs="Book Antiqua" w:ascii="Book Antiqua" w:hAnsi="Book Antiqua"/>
          <w:i/>
          <w:iCs/>
        </w:rPr>
        <w:t xml:space="preserve"> [Source: Time Division Multiple Access (TDMA) Tutorial, International Engineering Consortium]</w:t>
      </w:r>
      <w:r>
        <w:rPr/>
        <w:t xml:space="preserve"> </w:t>
      </w:r>
    </w:p>
    <w:p>
      <w:pPr>
        <w:pStyle w:val="NormalWeb"/>
        <w:ind w:start="720" w:end="0"/>
        <w:rPr/>
      </w:pPr>
      <w:r>
        <w:rPr/>
        <w:t xml:space="preserve">2. </w:t>
      </w:r>
      <w:r>
        <w:rPr>
          <w:rFonts w:cs="Book Antiqua" w:ascii="Book Antiqua" w:hAnsi="Book Antiqua"/>
        </w:rPr>
        <w:t xml:space="preserve">Wave Division Multiplexing (WDM). WDM is a technique for transmitting multiple wavelengths through the same fiber. "WDM provided many virtual fibers on a single physical fiber. By transmitting each signal at a different frequency, network capacity providers can send many signals on one fiber just as though each were travelling on its own fiber." </w:t>
      </w:r>
      <w:r>
        <w:rPr>
          <w:rFonts w:cs="Book Antiqua" w:ascii="Book Antiqua" w:hAnsi="Book Antiqua"/>
          <w:i/>
          <w:iCs/>
        </w:rPr>
        <w:t xml:space="preserve">[Source: Optical Networks, International Engineering Consortium, </w:t>
      </w:r>
      <w:hyperlink r:id="rId16">
        <w:r>
          <w:rPr>
            <w:rStyle w:val="Hyperlink"/>
            <w:rFonts w:cs="Book Antiqua" w:ascii="Book Antiqua" w:hAnsi="Book Antiqua"/>
            <w:i/>
            <w:iCs/>
          </w:rPr>
          <w:t>http://www.iec.org</w:t>
        </w:r>
      </w:hyperlink>
      <w:r>
        <w:rPr>
          <w:rFonts w:cs="Book Antiqua" w:ascii="Book Antiqua" w:hAnsi="Book Antiqua"/>
          <w:i/>
          <w:iCs/>
        </w:rPr>
        <w:t>]</w:t>
      </w:r>
      <w:r>
        <w:rPr>
          <w:rFonts w:cs="Book Antiqua" w:ascii="Book Antiqua" w:hAnsi="Book Antiqua"/>
        </w:rPr>
        <w:t xml:space="preserve"> Dense Wave Division Multiplexing (DWDM) combines multiple signals on the same fiber, currently ranging up to 80 channels.</w:t>
      </w:r>
    </w:p>
    <w:p>
      <w:pPr>
        <w:pStyle w:val="Normal"/>
        <w:rPr/>
      </w:pPr>
      <w:r>
        <w:rPr>
          <w:rFonts w:cs="Book Antiqua" w:ascii="Book Antiqua" w:hAnsi="Book Antiqua"/>
          <w:highlight w:val="yellow"/>
        </w:rPr>
        <w:t>The staff's concern is that an agreement that does not give exclusive rights to all of the physical properties of a specific tangible asset for a continuous period does not meet the accounting definition of a lease. The staff recognized that our White Paper spoke of the importance of the capacity being specifically identifiable (e.g. specified wavelength, time slots) but was concerned that the conditions in the White Paper could encompass a contract that was not a lease.</w:t>
      </w:r>
      <w:r>
        <w:rPr>
          <w:highlight w:val="yellow"/>
        </w:rPr>
        <w:br/>
        <w:br/>
      </w:r>
      <w:r>
        <w:rPr>
          <w:rFonts w:cs="Book Antiqua" w:ascii="Book Antiqua" w:hAnsi="Book Antiqua"/>
          <w:highlight w:val="yellow"/>
        </w:rPr>
        <w:t>Subsequently, a registrant had a telephone conference with the SEC staff to discuss the issue further in the context of a pending registration statement. At the end of the call, the SEC staff did not object to the registrant's accounting for IRUs as leases.</w:t>
      </w:r>
      <w:r>
        <w:rPr/>
        <w:br/>
        <w:br/>
      </w:r>
      <w:r>
        <w:rPr>
          <w:rFonts w:cs="Book Antiqua" w:ascii="Book Antiqua" w:hAnsi="Book Antiqua"/>
        </w:rPr>
        <w:t xml:space="preserve">To the extent that the staff concern relates to whether or not it is possible to a have a lease of an undivided interest, there are a number of references in accounting literature supportive of the conclusion that it is. These are set out in Appendix 2 </w:t>
      </w:r>
      <w:r>
        <w:rPr>
          <w:color w:val="0000FF"/>
        </w:rPr>
        <w:drawing>
          <wp:inline distT="0" distB="0" distL="0" distR="0">
            <wp:extent cx="114300" cy="133350"/>
            <wp:effectExtent l="0" t="0" r="0" b="0"/>
            <wp:docPr id="8" name="Image7" descr="" titl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a:hlinkClick r:id="rId18"/>
                    </pic:cNvPr>
                    <pic:cNvPicPr>
                      <a:picLocks noChangeAspect="1" noChangeArrowheads="1"/>
                    </pic:cNvPicPr>
                  </pic:nvPicPr>
                  <pic:blipFill>
                    <a:blip r:embed="rId1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rPr>
        <w:t>The staff appeared to be impressed by the fact that in simpler situations where an a single asset was leased to two or more parties for sequential time periods (e.g. the first six months of every year for the next 25 years) that we had concluded that such an agreement constituted a lease between the lessor and each lessee.</w:t>
      </w:r>
      <w:r>
        <w:rPr/>
        <w:br/>
        <w:br/>
      </w:r>
      <w:r>
        <w:rPr>
          <w:rFonts w:cs="Book Antiqua" w:ascii="Book Antiqua" w:hAnsi="Book Antiqua"/>
        </w:rPr>
        <w:t>However, they did require the registrant to make additional disclosures to the effect that:</w:t>
      </w:r>
    </w:p>
    <w:p>
      <w:pPr>
        <w:pStyle w:val="Normal"/>
        <w:numPr>
          <w:ilvl w:val="0"/>
          <w:numId w:val="8"/>
        </w:numPr>
        <w:spacing w:before="100" w:after="100"/>
        <w:rPr/>
      </w:pPr>
      <w:r>
        <w:rPr>
          <w:rFonts w:cs="Book Antiqua" w:ascii="Book Antiqua" w:hAnsi="Book Antiqua"/>
        </w:rPr>
        <w:t>Accounting for IRUs was evolving;</w:t>
      </w:r>
      <w:r>
        <w:rPr/>
        <w:t xml:space="preserve"> </w:t>
      </w:r>
    </w:p>
    <w:p>
      <w:pPr>
        <w:pStyle w:val="Normal"/>
        <w:numPr>
          <w:ilvl w:val="0"/>
          <w:numId w:val="8"/>
        </w:numPr>
        <w:spacing w:before="100" w:after="100"/>
        <w:rPr/>
      </w:pPr>
      <w:r>
        <w:rPr>
          <w:rFonts w:cs="Book Antiqua" w:ascii="Book Antiqua" w:hAnsi="Book Antiqua"/>
        </w:rPr>
        <w:t>There were a number of issues (some of which had already been referred to the EITF);</w:t>
      </w:r>
      <w:r>
        <w:rPr/>
        <w:t xml:space="preserve"> </w:t>
      </w:r>
    </w:p>
    <w:p>
      <w:pPr>
        <w:pStyle w:val="Normal"/>
        <w:numPr>
          <w:ilvl w:val="0"/>
          <w:numId w:val="8"/>
        </w:numPr>
        <w:spacing w:before="100" w:after="100"/>
        <w:rPr/>
      </w:pPr>
      <w:r>
        <w:rPr>
          <w:rFonts w:cs="Book Antiqua" w:ascii="Book Antiqua" w:hAnsi="Book Antiqua"/>
        </w:rPr>
        <w:t>Other issues were probably going to be referred to standard setting bodies; and</w:t>
      </w:r>
      <w:r>
        <w:rPr/>
        <w:t xml:space="preserve"> </w:t>
      </w:r>
    </w:p>
    <w:p>
      <w:pPr>
        <w:pStyle w:val="Normal"/>
        <w:numPr>
          <w:ilvl w:val="0"/>
          <w:numId w:val="8"/>
        </w:numPr>
        <w:spacing w:before="100" w:after="100"/>
        <w:rPr/>
      </w:pPr>
      <w:r>
        <w:rPr>
          <w:rFonts w:cs="Book Antiqua" w:ascii="Book Antiqua" w:hAnsi="Book Antiqua"/>
        </w:rPr>
        <w:t>Different accounting might, therefore, be required in the future.</w:t>
      </w:r>
    </w:p>
    <w:p>
      <w:pPr>
        <w:pStyle w:val="Normal"/>
        <w:rPr>
          <w:highlight w:val="yellow"/>
        </w:rPr>
      </w:pPr>
      <w:r>
        <w:rPr>
          <w:rFonts w:cs="Book Antiqua" w:ascii="Book Antiqua" w:hAnsi="Book Antiqua"/>
          <w:highlight w:val="yellow"/>
        </w:rPr>
        <w:t xml:space="preserve">We are also aware of a situation in which the SEC staff required disclosures, in addition to the foregoing, in a registrant's Form 10-K </w:t>
      </w:r>
      <w:r>
        <w:rPr>
          <w:color w:val="0000FF"/>
          <w:highlight w:val="yellow"/>
        </w:rPr>
        <w:drawing>
          <wp:inline distT="0" distB="0" distL="0" distR="0">
            <wp:extent cx="114300" cy="133350"/>
            <wp:effectExtent l="0" t="0" r="0" b="0"/>
            <wp:docPr id="9" name="Image8" descr="" titl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a:hlinkClick r:id="rId20"/>
                    </pic:cNvPr>
                    <pic:cNvPicPr>
                      <a:picLocks noChangeAspect="1" noChangeArrowheads="1"/>
                    </pic:cNvPicPr>
                  </pic:nvPicPr>
                  <pic:blipFill>
                    <a:blip r:embed="rId1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Specifically, a registrant was required to disclose the:</w:t>
      </w:r>
    </w:p>
    <w:p>
      <w:pPr>
        <w:pStyle w:val="Normal"/>
        <w:numPr>
          <w:ilvl w:val="0"/>
          <w:numId w:val="19"/>
        </w:numPr>
        <w:spacing w:before="100" w:after="100"/>
        <w:rPr>
          <w:highlight w:val="yellow"/>
        </w:rPr>
      </w:pPr>
      <w:r>
        <w:rPr>
          <w:rFonts w:cs="Book Antiqua" w:ascii="Book Antiqua" w:hAnsi="Book Antiqua"/>
          <w:highlight w:val="yellow"/>
        </w:rPr>
        <w:t>Effect on its business for changes in contractual terms that will preclude sales-type lease accounting in the future;</w:t>
      </w:r>
    </w:p>
    <w:p>
      <w:pPr>
        <w:pStyle w:val="Normal"/>
        <w:numPr>
          <w:ilvl w:val="0"/>
          <w:numId w:val="15"/>
        </w:numPr>
        <w:spacing w:before="100" w:after="100"/>
        <w:rPr>
          <w:highlight w:val="yellow"/>
        </w:rPr>
      </w:pPr>
      <w:r>
        <w:rPr>
          <w:rFonts w:cs="Book Antiqua" w:ascii="Book Antiqua" w:hAnsi="Book Antiqua"/>
          <w:highlight w:val="yellow"/>
        </w:rPr>
        <w:t>Amount of revenue currently in backlog that will be recognized in the future using sales-type lease accounting; and</w:t>
      </w:r>
    </w:p>
    <w:p>
      <w:pPr>
        <w:pStyle w:val="Normal"/>
        <w:numPr>
          <w:ilvl w:val="0"/>
          <w:numId w:val="13"/>
        </w:numPr>
        <w:spacing w:before="100" w:after="100"/>
        <w:rPr>
          <w:highlight w:val="yellow"/>
        </w:rPr>
      </w:pPr>
      <w:r>
        <w:rPr>
          <w:rFonts w:cs="Book Antiqua" w:ascii="Book Antiqua" w:hAnsi="Book Antiqua"/>
          <w:highlight w:val="yellow"/>
        </w:rPr>
        <w:t>Amount of revenue recognized for the past two years using sales-type lease accounting.</w:t>
      </w:r>
    </w:p>
    <w:p>
      <w:pPr>
        <w:pStyle w:val="Normal"/>
        <w:rPr/>
      </w:pPr>
      <w:r>
        <w:rPr>
          <w:rFonts w:cs="Book Antiqua" w:ascii="Book Antiqua" w:hAnsi="Book Antiqua"/>
        </w:rPr>
        <w:t>We will be keeping in touch with the staff to learn how they see this particular issue being taken forward. Our present understanding is that the staff has not yet determined how to take this issue forward, but its concern remains.</w:t>
      </w:r>
      <w:r>
        <w:rPr/>
        <w:br/>
        <w:br/>
      </w:r>
      <w:r>
        <w:rPr>
          <w:rFonts w:cs="Book Antiqua" w:ascii="Book Antiqua" w:hAnsi="Book Antiqua"/>
          <w:highlight w:val="yellow"/>
        </w:rPr>
        <w:t>We understand the SEC staff does not have a similar concern with IRUs for dark fiber.</w:t>
      </w:r>
      <w:r>
        <w:rPr/>
        <w:br/>
        <w:br/>
      </w:r>
      <w:r>
        <w:rPr>
          <w:rFonts w:cs="Book Antiqua" w:ascii="Book Antiqua" w:hAnsi="Book Antiqua"/>
        </w:rPr>
        <w:t>We continue to believe lease accounting is the appropriate model for IRUs that meet the conditions set forth in this paper.</w:t>
      </w:r>
      <w:r>
        <w:rPr/>
        <w:br/>
        <w:br/>
        <w:br/>
      </w:r>
      <w:r>
        <w:rPr>
          <w:rFonts w:cs="Book Antiqua" w:ascii="Book Antiqua" w:hAnsi="Book Antiqua"/>
          <w:b/>
          <w:bCs/>
        </w:rPr>
        <w:t>2.C. Service Contract Accounting</w:t>
      </w:r>
      <w:r>
        <w:rPr/>
        <w:br/>
        <w:br/>
      </w:r>
      <w:r>
        <w:rPr>
          <w:rFonts w:cs="Book Antiqua" w:ascii="Book Antiqua" w:hAnsi="Book Antiqua"/>
        </w:rPr>
        <w:t>Relatively little accounting literature exists on accounting for a service contract.</w:t>
      </w:r>
      <w:r>
        <w:rPr/>
        <w:br/>
        <w:br/>
      </w:r>
      <w:r>
        <w:rPr>
          <w:rFonts w:cs="Book Antiqua" w:ascii="Book Antiqua" w:hAnsi="Book Antiqua"/>
        </w:rPr>
        <w:t xml:space="preserve">In 1978, the FASB issued an Invitation to Comment, </w:t>
      </w:r>
      <w:r>
        <w:rPr>
          <w:rFonts w:cs="Book Antiqua" w:ascii="Book Antiqua" w:hAnsi="Book Antiqua"/>
          <w:i/>
          <w:iCs/>
        </w:rPr>
        <w:t>Accounting for Certain Service Transactions</w:t>
      </w:r>
      <w:r>
        <w:rPr>
          <w:rFonts w:cs="Book Antiqua" w:ascii="Book Antiqua" w:hAnsi="Book Antiqua"/>
        </w:rPr>
        <w:t>, the greater part of which was a draft AICPA Statement of Position (the draft SOP).</w:t>
      </w:r>
      <w:r>
        <w:rPr/>
        <w:br/>
        <w:br/>
      </w:r>
      <w:r>
        <w:rPr>
          <w:rFonts w:cs="Book Antiqua" w:ascii="Book Antiqua" w:hAnsi="Book Antiqua"/>
        </w:rPr>
        <w:t>The draft SOP proposed that revenue from service transactions should be recognized based on performance, because performance determines the extent to which the earnings process is complete or virtually complete. (Performance is the execution of a defined act or acts or occurs with the passage of time.) Accordingly, the draft SOP proposed that revenue from service transactions should be recognized under one of the following methods:</w:t>
      </w:r>
    </w:p>
    <w:p>
      <w:pPr>
        <w:pStyle w:val="Normal"/>
        <w:numPr>
          <w:ilvl w:val="0"/>
          <w:numId w:val="5"/>
        </w:numPr>
        <w:spacing w:before="100" w:after="100"/>
        <w:rPr/>
      </w:pPr>
      <w:r>
        <w:rPr>
          <w:rFonts w:cs="Book Antiqua" w:ascii="Book Antiqua" w:hAnsi="Book Antiqua"/>
          <w:i/>
          <w:iCs/>
        </w:rPr>
        <w:t>Specific performance method</w:t>
      </w:r>
      <w:r>
        <w:rPr>
          <w:rFonts w:cs="Book Antiqua" w:ascii="Book Antiqua" w:hAnsi="Book Antiqua"/>
        </w:rPr>
        <w:t xml:space="preserve"> — Performance is the execution of a single act. Revenue should be recognized when that act takes place.</w:t>
      </w:r>
    </w:p>
    <w:p>
      <w:pPr>
        <w:pStyle w:val="Normal"/>
        <w:numPr>
          <w:ilvl w:val="0"/>
          <w:numId w:val="12"/>
        </w:numPr>
        <w:spacing w:before="100" w:after="100"/>
        <w:rPr/>
      </w:pPr>
      <w:r>
        <w:rPr>
          <w:rFonts w:cs="Book Antiqua" w:ascii="Book Antiqua" w:hAnsi="Book Antiqua"/>
          <w:i/>
          <w:iCs/>
        </w:rPr>
        <w:t>Proportional performance method</w:t>
      </w:r>
      <w:r>
        <w:rPr>
          <w:rFonts w:cs="Book Antiqua" w:ascii="Book Antiqua" w:hAnsi="Book Antiqua"/>
        </w:rPr>
        <w:t xml:space="preserve"> — Performance consists of the execution of more than one act and revenue should be recognized based on the proportionate performance of each act. For example, if the service transaction involves a specified number of similar acts, an equal amount of revenue should be recognized for each act. If the transaction involves a specified number of defined but dissimilar acts, revenue recognized for each act should be based on the ratio of the seller's direct costs to perform each act to the total estimated direct costs of the transaction. If the transaction involves an unspecified number of similar acts with a fixed period for performance, revenue should be recognized on the straight-line method over the performance period.</w:t>
      </w:r>
    </w:p>
    <w:p>
      <w:pPr>
        <w:pStyle w:val="Normal"/>
        <w:numPr>
          <w:ilvl w:val="0"/>
          <w:numId w:val="20"/>
        </w:numPr>
        <w:spacing w:before="100" w:after="100"/>
        <w:rPr/>
      </w:pPr>
      <w:r>
        <w:rPr>
          <w:rFonts w:cs="Book Antiqua" w:ascii="Book Antiqua" w:hAnsi="Book Antiqua"/>
          <w:i/>
          <w:iCs/>
        </w:rPr>
        <w:t>Completed performance method</w:t>
      </w:r>
      <w:r>
        <w:rPr>
          <w:rFonts w:cs="Book Antiqua" w:ascii="Book Antiqua" w:hAnsi="Book Antiqua"/>
        </w:rPr>
        <w:t xml:space="preserve"> — If performance involves more than a single act, the proportion of services to be performed in the final act may be so significant in relation to the service transaction as a whole that performance cannot be deemed to have taken place until execution of that act. Revenue should be recognized when that act takes place.</w:t>
      </w:r>
    </w:p>
    <w:p>
      <w:pPr>
        <w:pStyle w:val="Normal"/>
        <w:numPr>
          <w:ilvl w:val="0"/>
          <w:numId w:val="10"/>
        </w:numPr>
        <w:spacing w:before="100" w:after="100"/>
        <w:rPr/>
      </w:pPr>
      <w:r>
        <w:rPr>
          <w:rFonts w:cs="Book Antiqua" w:ascii="Book Antiqua" w:hAnsi="Book Antiqua"/>
          <w:i/>
          <w:iCs/>
        </w:rPr>
        <w:t>Collection method</w:t>
      </w:r>
      <w:r>
        <w:rPr>
          <w:rFonts w:cs="Book Antiqua" w:ascii="Book Antiqua" w:hAnsi="Book Antiqua"/>
        </w:rPr>
        <w:t xml:space="preserve"> — If a significant degree of uncertainty surrounds realization of service revenue (for example, many personal services), revenue should not be recognized until collection.</w:t>
      </w:r>
    </w:p>
    <w:p>
      <w:pPr>
        <w:pStyle w:val="Normal"/>
        <w:rPr/>
      </w:pPr>
      <w:r>
        <w:rPr>
          <w:rFonts w:cs="Book Antiqua" w:ascii="Book Antiqua" w:hAnsi="Book Antiqua"/>
        </w:rPr>
        <w:t>The draft SOP was never finalized. However, it remains one of the few documents to address the conceptual accounting issues related to service contracts and is therefore often cited when addressing service transaction issues.</w:t>
      </w:r>
      <w:r>
        <w:rPr/>
        <w:br/>
        <w:br/>
      </w:r>
      <w:r>
        <w:rPr>
          <w:rFonts w:cs="Book Antiqua" w:ascii="Book Antiqua" w:hAnsi="Book Antiqua"/>
        </w:rPr>
        <w:t xml:space="preserve">FASB Technical Bulletin No. 90-1, </w:t>
      </w:r>
      <w:r>
        <w:rPr>
          <w:rFonts w:cs="Book Antiqua" w:ascii="Book Antiqua" w:hAnsi="Book Antiqua"/>
          <w:i/>
          <w:iCs/>
        </w:rPr>
        <w:t>Accounting for Separately Priced Extended Warranty and Product Maintenance Contracts,</w:t>
      </w:r>
      <w:r>
        <w:rPr>
          <w:rFonts w:cs="Book Antiqua" w:ascii="Book Antiqua" w:hAnsi="Book Antiqua"/>
        </w:rPr>
        <w:t xml:space="preserve"> (TB 90-1 </w:t>
      </w:r>
      <w:r>
        <w:rPr>
          <w:color w:val="0000FF"/>
        </w:rPr>
        <w:drawing>
          <wp:inline distT="0" distB="0" distL="0" distR="0">
            <wp:extent cx="114300" cy="133350"/>
            <wp:effectExtent l="0" t="0" r="0" b="0"/>
            <wp:docPr id="10" name="Image9" descr="" tit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a:hlinkClick r:id="rId22"/>
                    </pic:cNvPr>
                    <pic:cNvPicPr>
                      <a:picLocks noChangeAspect="1" noChangeArrowheads="1"/>
                    </pic:cNvPicPr>
                  </pic:nvPicPr>
                  <pic:blipFill>
                    <a:blip r:embed="rId2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addresses a specific type of service contract. TB90-1 states:</w:t>
      </w:r>
    </w:p>
    <w:p>
      <w:pPr>
        <w:pStyle w:val="Normal"/>
        <w:ind w:start="720" w:end="0"/>
        <w:rPr/>
      </w:pPr>
      <w:r>
        <w:rPr>
          <w:rFonts w:cs="Book Antiqua" w:ascii="Book Antiqua" w:hAnsi="Book Antiqua"/>
          <w:sz w:val="20"/>
          <w:szCs w:val="20"/>
        </w:rPr>
        <w:t>Revenue from separately priced extended warranty and product maintenance contracts should be deferred and recognized in income on a straight-line basis over the contract period except in those circumstances in which sufficient historical evidence indicates that the costs of performing services under the contract are incurred on other than a straight-line basis. In those circumstances, revenue should be recognized over the contract period in proportion to the costs expected to be incurred in performing services under the contract.</w:t>
      </w:r>
      <w:r>
        <w:rPr/>
        <w:t xml:space="preserve"> </w:t>
      </w:r>
    </w:p>
    <w:p>
      <w:pPr>
        <w:pStyle w:val="Normal"/>
        <w:rPr/>
      </w:pPr>
      <w:r>
        <w:rPr>
          <w:rFonts w:cs="Book Antiqua" w:ascii="Book Antiqua" w:hAnsi="Book Antiqua"/>
        </w:rPr>
        <w:t>The Emerging Issues Task Force concluded, in EITF Issue No. 91-6, R</w:t>
      </w:r>
      <w:r>
        <w:rPr>
          <w:rFonts w:cs="Book Antiqua" w:ascii="Book Antiqua" w:hAnsi="Book Antiqua"/>
          <w:i/>
          <w:iCs/>
        </w:rPr>
        <w:t>evenue Recognition of Long-Term Power Sales Contracts</w:t>
      </w:r>
      <w:r>
        <w:rPr>
          <w:rFonts w:cs="Book Antiqua" w:ascii="Book Antiqua" w:hAnsi="Book Antiqua"/>
        </w:rPr>
        <w:t xml:space="preserve">, (Issue 91-6 </w:t>
      </w:r>
      <w:r>
        <w:rPr>
          <w:color w:val="0000FF"/>
        </w:rPr>
        <w:drawing>
          <wp:inline distT="0" distB="0" distL="0" distR="0">
            <wp:extent cx="114300" cy="133350"/>
            <wp:effectExtent l="0" t="0" r="0" b="0"/>
            <wp:docPr id="11" name="Image10" descr="" tit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a:hlinkClick r:id="rId24"/>
                    </pic:cNvPr>
                    <pic:cNvPicPr>
                      <a:picLocks noChangeAspect="1" noChangeArrowheads="1"/>
                    </pic:cNvPicPr>
                  </pic:nvPicPr>
                  <pic:blipFill>
                    <a:blip r:embed="rId2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that revenue under long-term power sales contracts should be based on the lower of:</w:t>
      </w:r>
    </w:p>
    <w:p>
      <w:pPr>
        <w:pStyle w:val="Normal"/>
        <w:ind w:start="720" w:end="0"/>
        <w:rPr/>
      </w:pPr>
      <w:r>
        <w:rPr/>
        <w:t xml:space="preserve">1. </w:t>
      </w:r>
      <w:r>
        <w:rPr>
          <w:rFonts w:cs="Book Antiqua" w:ascii="Book Antiqua" w:hAnsi="Book Antiqua"/>
        </w:rPr>
        <w:t>The amount billable under the contract; and</w:t>
      </w:r>
      <w:r>
        <w:rPr/>
        <w:t xml:space="preserve"> </w:t>
      </w:r>
    </w:p>
    <w:p>
      <w:pPr>
        <w:pStyle w:val="NormalWeb"/>
        <w:spacing w:before="0" w:after="0"/>
        <w:ind w:start="720" w:end="0"/>
        <w:rPr/>
      </w:pPr>
      <w:r>
        <w:rPr/>
        <w:t xml:space="preserve">2. </w:t>
      </w:r>
      <w:r>
        <w:rPr>
          <w:rFonts w:cs="Book Antiqua" w:ascii="Book Antiqua" w:hAnsi="Book Antiqua"/>
        </w:rPr>
        <w:t>An amount determined by the power units made available in the period multiplied by the estimated average revenue per unit of power over the term of the contract.</w:t>
      </w:r>
    </w:p>
    <w:p>
      <w:pPr>
        <w:pStyle w:val="Normal"/>
        <w:rPr/>
      </w:pPr>
      <w:r>
        <w:rPr>
          <w:rFonts w:cs="Book Antiqua" w:ascii="Book Antiqua" w:hAnsi="Book Antiqua"/>
        </w:rPr>
        <w:t xml:space="preserve">Long-term contracts to provide services (other than architectural and engineering services) are not within the scope of AICPA Statement of Position 81-1, </w:t>
      </w:r>
      <w:r>
        <w:rPr>
          <w:rFonts w:cs="Book Antiqua" w:ascii="Book Antiqua" w:hAnsi="Book Antiqua"/>
          <w:i/>
          <w:iCs/>
        </w:rPr>
        <w:t xml:space="preserve">Accounting for Performance of Construction-Type and Certain Production-Type Contracts </w:t>
      </w:r>
      <w:r>
        <w:rPr>
          <w:rFonts w:cs="Book Antiqua" w:ascii="Book Antiqua" w:hAnsi="Book Antiqua"/>
        </w:rPr>
        <w:t xml:space="preserve">(SOP 81-1 </w:t>
      </w:r>
      <w:r>
        <w:rPr>
          <w:color w:val="0000FF"/>
        </w:rPr>
        <w:drawing>
          <wp:inline distT="0" distB="0" distL="0" distR="0">
            <wp:extent cx="114300" cy="133350"/>
            <wp:effectExtent l="0" t="0" r="0" b="0"/>
            <wp:docPr id="12" name="Image11" descr="" titl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a:hlinkClick r:id="rId26"/>
                    </pic:cNvPr>
                    <pic:cNvPicPr>
                      <a:picLocks noChangeAspect="1" noChangeArrowheads="1"/>
                    </pic:cNvPicPr>
                  </pic:nvPicPr>
                  <pic:blipFill>
                    <a:blip r:embed="rId2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We understand the SEC staff believes it is inappropriate to analogize to SOP 81-1 when accounting for long-term service contracts.</w:t>
      </w:r>
      <w:r>
        <w:rPr/>
        <w:br/>
        <w:br/>
      </w:r>
      <w:r>
        <w:rPr>
          <w:rFonts w:cs="Book Antiqua" w:ascii="Book Antiqua" w:hAnsi="Book Antiqua"/>
        </w:rPr>
        <w:t>We believe that revenue from an IRU that is classified as a service contract should be recognized on a straight-line basis over the life of the contract. This conclusion is based on the following analysis.</w:t>
      </w:r>
    </w:p>
    <w:p>
      <w:pPr>
        <w:pStyle w:val="Normal"/>
        <w:ind w:start="720" w:end="0"/>
        <w:rPr/>
      </w:pPr>
      <w:r>
        <w:rPr/>
        <w:t xml:space="preserve">1. </w:t>
      </w:r>
      <w:r>
        <w:rPr>
          <w:rFonts w:cs="Book Antiqua" w:ascii="Book Antiqua" w:hAnsi="Book Antiqua"/>
        </w:rPr>
        <w:t>The proportional performance method discussed in the draft SOP on service transactions requires the identification of the act which is performed. In an IRU, the act is making available a fixed amount of capacity for a specified period so that as time passes, the act is proportionately performed. The use of the percentage-of-completion method discussed in SOP 81-1, if it were appropriate, would result in a similar analysis. Percentage of completion can be measured by either "input" or "output" techniques. SOP 81-1 states that output measures are generally the best method of determining progress towards completion. In the provision of network capacity, the output measure is constant from one period to the next when the same volume of capacity is provided throughout the contract term.</w:t>
      </w:r>
      <w:r>
        <w:rPr/>
        <w:t xml:space="preserve"> </w:t>
      </w:r>
    </w:p>
    <w:p>
      <w:pPr>
        <w:pStyle w:val="NormalWeb"/>
        <w:spacing w:before="0" w:after="0"/>
        <w:ind w:start="720" w:end="0"/>
        <w:rPr/>
      </w:pPr>
      <w:r>
        <w:rPr/>
        <w:t xml:space="preserve">2. </w:t>
      </w:r>
      <w:r>
        <w:rPr>
          <w:rFonts w:cs="Book Antiqua" w:ascii="Book Antiqua" w:hAnsi="Book Antiqua"/>
        </w:rPr>
        <w:t>TB 90-1 requires the straight-line method unless there is sufficient historical evidence that the costs of performing services are incurred other than on a straight-line basis.</w:t>
      </w:r>
      <w:r>
        <w:rPr/>
        <w:t xml:space="preserve"> </w:t>
      </w:r>
    </w:p>
    <w:p>
      <w:pPr>
        <w:pStyle w:val="NormalWeb"/>
        <w:spacing w:before="0" w:after="0"/>
        <w:ind w:start="720" w:end="0"/>
        <w:rPr/>
      </w:pPr>
      <w:r>
        <w:rPr/>
        <w:t xml:space="preserve">3. </w:t>
      </w:r>
      <w:r>
        <w:rPr>
          <w:rFonts w:cs="Book Antiqua" w:ascii="Book Antiqua" w:hAnsi="Book Antiqua"/>
        </w:rPr>
        <w:t>Issue 91-6 uses a model based on units of capacity supplied. In the case of an IRU, the units of capacity supplied are constant over the contract term.</w:t>
      </w:r>
    </w:p>
    <w:p>
      <w:pPr>
        <w:pStyle w:val="Normal"/>
        <w:rPr/>
      </w:pPr>
      <w:r>
        <w:rPr/>
        <w:br/>
        <w:br/>
        <w:br/>
      </w:r>
      <w:r>
        <w:rPr>
          <w:rFonts w:cs="Book Antiqua" w:ascii="Book Antiqua" w:hAnsi="Book Antiqua"/>
          <w:b/>
          <w:bCs/>
        </w:rPr>
        <w:t>2.D. Lease Accounting</w:t>
      </w:r>
      <w:r>
        <w:rPr/>
        <w:br/>
        <w:br/>
      </w:r>
      <w:r>
        <w:rPr>
          <w:rFonts w:cs="Book Antiqua" w:ascii="Book Antiqua" w:hAnsi="Book Antiqua"/>
          <w:b/>
          <w:bCs/>
        </w:rPr>
        <w:t>2.D.1. Types of Lease</w:t>
      </w:r>
      <w:r>
        <w:rPr/>
        <w:br/>
        <w:br/>
      </w:r>
      <w:r>
        <w:rPr>
          <w:rFonts w:cs="Book Antiqua" w:ascii="Book Antiqua" w:hAnsi="Book Antiqua"/>
        </w:rPr>
        <w:t xml:space="preserve">(Updated March 2001 </w:t>
      </w:r>
      <w:r>
        <w:rPr>
          <w:color w:val="0000FF"/>
        </w:rPr>
        <w:drawing>
          <wp:inline distT="0" distB="0" distL="0" distR="0">
            <wp:extent cx="114300" cy="133350"/>
            <wp:effectExtent l="0" t="0" r="0" b="0"/>
            <wp:docPr id="13" name="Image12" descr="" titl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a:hlinkClick r:id="rId28"/>
                    </pic:cNvPr>
                    <pic:cNvPicPr>
                      <a:picLocks noChangeAspect="1" noChangeArrowheads="1"/>
                    </pic:cNvPicPr>
                  </pic:nvPicPr>
                  <pic:blipFill>
                    <a:blip r:embed="rId2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rPr>
        <w:t>If the IRU is determined to be a lease, the proper lease classification must be determined. For providers of network capacity (lessors), two principal possible lease classifications exist: sales-type and operating leases.</w:t>
      </w:r>
      <w:r>
        <w:rPr/>
        <w:br/>
        <w:br/>
      </w:r>
      <w:r>
        <w:rPr>
          <w:rFonts w:cs="Book Antiqua" w:ascii="Book Antiqua" w:hAnsi="Book Antiqua"/>
        </w:rPr>
        <w:t xml:space="preserve">A sales-type lease gives rise to a manufacturer's or dealer's profit or loss for the lessor because the fair value of the leased asset is greater or less than its cost (or carrying amount if different). (A lessee of capacity would need to consider whether the lease should be classified as a capital lease or an operating lease: if the lessee were then to sub-lease the capacity to a third party it would need, as sublessor, to apply paragraphs 38 and 39 </w:t>
      </w:r>
      <w:r>
        <w:rPr>
          <w:color w:val="0000FF"/>
        </w:rPr>
        <w:drawing>
          <wp:inline distT="0" distB="0" distL="0" distR="0">
            <wp:extent cx="114300" cy="133350"/>
            <wp:effectExtent l="0" t="0" r="0" b="0"/>
            <wp:docPr id="14" name="Image13" descr="" titl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a:hlinkClick r:id="rId30"/>
                    </pic:cNvPr>
                    <pic:cNvPicPr>
                      <a:picLocks noChangeAspect="1" noChangeArrowheads="1"/>
                    </pic:cNvPicPr>
                  </pic:nvPicPr>
                  <pic:blipFill>
                    <a:blip r:embed="rId2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to the new lease to determine the appropriate classification as sales-type, direct financing or operating lease. A decision tree to assist in the interpretation of paragraphs 38 and 39 of Statement 13 is included in Appendix 1 </w:t>
      </w:r>
      <w:r>
        <w:rPr>
          <w:color w:val="0000FF"/>
        </w:rPr>
        <w:drawing>
          <wp:inline distT="0" distB="0" distL="0" distR="0">
            <wp:extent cx="114300" cy="133350"/>
            <wp:effectExtent l="0" t="0" r="0" b="0"/>
            <wp:docPr id="15" name="Image14" descr="" titl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a:hlinkClick r:id="rId32"/>
                    </pic:cNvPr>
                    <pic:cNvPicPr>
                      <a:picLocks noChangeAspect="1" noChangeArrowheads="1"/>
                    </pic:cNvPicPr>
                  </pic:nvPicPr>
                  <pic:blipFill>
                    <a:blip r:embed="rId3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rPr>
        <w:t xml:space="preserve">For a sales-type lease, Statement 13 </w:t>
      </w:r>
      <w:r>
        <w:rPr>
          <w:color w:val="0000FF"/>
        </w:rPr>
        <w:drawing>
          <wp:inline distT="0" distB="0" distL="0" distR="0">
            <wp:extent cx="114300" cy="133350"/>
            <wp:effectExtent l="0" t="0" r="0" b="0"/>
            <wp:docPr id="16" name="Image15" descr="" titl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a:hlinkClick r:id="rId34"/>
                    </pic:cNvPr>
                    <pic:cNvPicPr>
                      <a:picLocks noChangeAspect="1" noChangeArrowheads="1"/>
                    </pic:cNvPicPr>
                  </pic:nvPicPr>
                  <pic:blipFill>
                    <a:blip r:embed="rId3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requires that the lessor record:</w:t>
      </w:r>
    </w:p>
    <w:p>
      <w:pPr>
        <w:pStyle w:val="Normal"/>
        <w:ind w:start="720" w:end="0"/>
        <w:rPr/>
      </w:pPr>
      <w:r>
        <w:rPr/>
        <w:t xml:space="preserve">1. </w:t>
      </w:r>
      <w:r>
        <w:rPr>
          <w:rFonts w:cs="Book Antiqua" w:ascii="Book Antiqua" w:hAnsi="Book Antiqua"/>
        </w:rPr>
        <w:t>As sales the present value of the minimum lease payments (net of executory costs, including any profit thereon); and</w:t>
      </w:r>
      <w:r>
        <w:rPr/>
        <w:t xml:space="preserve"> </w:t>
      </w:r>
    </w:p>
    <w:p>
      <w:pPr>
        <w:pStyle w:val="NormalWeb"/>
        <w:spacing w:before="0" w:after="0"/>
        <w:ind w:start="720" w:end="0"/>
        <w:rPr/>
      </w:pPr>
      <w:r>
        <w:rPr/>
        <w:t xml:space="preserve">2. </w:t>
      </w:r>
      <w:r>
        <w:rPr>
          <w:rFonts w:cs="Book Antiqua" w:ascii="Book Antiqua" w:hAnsi="Book Antiqua"/>
        </w:rPr>
        <w:t>As cost of sales the carrying amount of the leased property plus any initial direct costs less the present value of the unguaranteed residual accruing to the lessor.</w:t>
      </w:r>
    </w:p>
    <w:p>
      <w:pPr>
        <w:pStyle w:val="Normal"/>
        <w:rPr>
          <w:rFonts w:ascii="Book Antiqua" w:hAnsi="Book Antiqua" w:cs="Book Antiqua"/>
        </w:rPr>
      </w:pPr>
      <w:r>
        <w:rPr>
          <w:rFonts w:cs="Book Antiqua" w:ascii="Book Antiqua" w:hAnsi="Book Antiqua"/>
        </w:rPr>
        <w:t>For an operating lease, Statement 13 requires that the lessor:</w:t>
      </w:r>
    </w:p>
    <w:p>
      <w:pPr>
        <w:pStyle w:val="Normal"/>
        <w:ind w:start="720" w:end="0"/>
        <w:rPr/>
      </w:pPr>
      <w:r>
        <w:rPr/>
        <w:t xml:space="preserve">1. </w:t>
      </w:r>
      <w:r>
        <w:rPr>
          <w:rFonts w:cs="Book Antiqua" w:ascii="Book Antiqua" w:hAnsi="Book Antiqua"/>
        </w:rPr>
        <w:t>Include the lease property within (or near) property, plant, and equipment in the balance sheet and depreciate it;</w:t>
      </w:r>
      <w:r>
        <w:rPr/>
        <w:t xml:space="preserve"> </w:t>
      </w:r>
    </w:p>
    <w:p>
      <w:pPr>
        <w:pStyle w:val="NormalWeb"/>
        <w:spacing w:before="0" w:after="0"/>
        <w:ind w:start="720" w:end="0"/>
        <w:rPr/>
      </w:pPr>
      <w:r>
        <w:rPr/>
        <w:t xml:space="preserve">2. </w:t>
      </w:r>
      <w:r>
        <w:rPr>
          <w:rFonts w:cs="Book Antiqua" w:ascii="Book Antiqua" w:hAnsi="Book Antiqua"/>
        </w:rPr>
        <w:t>Recognize the rental income on a straight-line basis over the term of the lease; and</w:t>
      </w:r>
      <w:r>
        <w:rPr/>
        <w:t xml:space="preserve"> </w:t>
      </w:r>
    </w:p>
    <w:p>
      <w:pPr>
        <w:pStyle w:val="NormalWeb"/>
        <w:spacing w:before="0" w:after="0"/>
        <w:ind w:start="720" w:end="0"/>
        <w:rPr/>
      </w:pPr>
      <w:r>
        <w:rPr/>
        <w:t xml:space="preserve">3. </w:t>
      </w:r>
      <w:r>
        <w:rPr>
          <w:rFonts w:cs="Book Antiqua" w:ascii="Book Antiqua" w:hAnsi="Book Antiqua"/>
        </w:rPr>
        <w:t>Defer and amortize initial direct costs over the lease term in proportion to the recognized rental income.</w:t>
      </w:r>
    </w:p>
    <w:p>
      <w:pPr>
        <w:pStyle w:val="Normal"/>
        <w:rPr/>
      </w:pPr>
      <w:r>
        <w:rPr>
          <w:rFonts w:cs="Book Antiqua" w:ascii="Book Antiqua" w:hAnsi="Book Antiqua"/>
          <w:b/>
          <w:bCs/>
          <w:i/>
          <w:iCs/>
        </w:rPr>
        <w:t>Segmentation of a Lease into Components</w:t>
      </w:r>
      <w:r>
        <w:rPr/>
        <w:br/>
        <w:br/>
      </w:r>
      <w:r>
        <w:rPr>
          <w:rFonts w:cs="Book Antiqua" w:ascii="Book Antiqua" w:hAnsi="Book Antiqua"/>
        </w:rPr>
        <w:t>Some IRUs convey capacity over a particular route, but the nature of the provider's interest and rights in the underlying assets being used to provide capacity may vary from one part of the route to another. For example, Provider A may own a subsea cable including the length from the "beachjoint" to the landing station. (Provider A will likely have a right of way (ROW) for the underlying land from the "beachjoint" to the landing station, whereas they likely do not have and would not need an ROW for the seabed.) In addition, the IRU provides capacity from City X to one landing station and from the other landing station to City Y. Provider A may have leased the "land-based" segments from another provider. Indeed, in some jurisdictions a provider may be prevented from having a legal ownership interest in capacity. Since it does not have title to the land-based segment of the cable, Provider A could not transfer title to that segment. If it were not possible to bifurcate the IRU into the discrete segments, sales-type lease accounting would not be possible for any part of the IRU (although Provider A could transfer the asset subject to the operating lease and recognize the sale).</w:t>
      </w:r>
      <w:r>
        <w:rPr/>
        <w:br/>
        <w:br/>
      </w:r>
      <w:r>
        <w:rPr>
          <w:rFonts w:cs="Book Antiqua" w:ascii="Book Antiqua" w:hAnsi="Book Antiqua"/>
        </w:rPr>
        <w:t xml:space="preserve">SOP No. 81-1, </w:t>
      </w:r>
      <w:r>
        <w:rPr>
          <w:rFonts w:cs="Book Antiqua" w:ascii="Book Antiqua" w:hAnsi="Book Antiqua"/>
          <w:i/>
          <w:iCs/>
        </w:rPr>
        <w:t>"Accounting for Performance of Construction/Production Contracts,"</w:t>
      </w:r>
      <w:r>
        <w:rPr>
          <w:rFonts w:cs="Book Antiqua" w:ascii="Book Antiqua" w:hAnsi="Book Antiqua"/>
        </w:rPr>
        <w:t xml:space="preserve"> includes criteria (in paragraphs 39-41 ) for determining whether a single construction contract might be segmented into separate elements for accounting purposes. We believe those criteria provide an appropriate model for determining whether a single IRU may be bifurcated into discrete segments, with the accounting for each segment determined separately. The criteria are as follows:</w:t>
      </w:r>
    </w:p>
    <w:p>
      <w:pPr>
        <w:pStyle w:val="Normal"/>
        <w:ind w:start="720" w:end="0"/>
        <w:rPr>
          <w:rFonts w:ascii="Book Antiqua" w:hAnsi="Book Antiqua" w:cs="Book Antiqua"/>
          <w:sz w:val="20"/>
          <w:szCs w:val="20"/>
        </w:rPr>
      </w:pPr>
      <w:r>
        <w:rPr>
          <w:rFonts w:cs="Book Antiqua" w:ascii="Book Antiqua" w:hAnsi="Book Antiqua"/>
          <w:sz w:val="20"/>
          <w:szCs w:val="20"/>
        </w:rPr>
        <w:t>39. A single contract or a group of contracts that otherwise meet the test for combining may include several elements or phases, each of which the contractor negotiated separately with the same customer and agreed to perform without regard to the performance of the others. If those activities are accounted for as a single profit center, the reported income may differ from that contemplated in the negotiations for reasons other than differences in performance. If the project is segmented, revenues can be assigned to the different elements or phases to achieve different rates of profitability based on the relative value of each element or phase to the estimated total contract revenue. A project, which may consist of a single contract or a group of contracts, with segments that have different rates of profitability may be segmented if it meets the criteria in paragraph .40, paragraph .41, or paragraph .42. The criteria for segmenting should be applied consistently to contracts with similar characteristics and in similar circumstances.</w:t>
      </w:r>
    </w:p>
    <w:p>
      <w:pPr>
        <w:pStyle w:val="Normal"/>
        <w:ind w:start="720" w:end="0"/>
        <w:rPr>
          <w:rFonts w:ascii="Book Antiqua" w:hAnsi="Book Antiqua" w:cs="Book Antiqua"/>
          <w:sz w:val="20"/>
          <w:szCs w:val="20"/>
        </w:rPr>
      </w:pPr>
      <w:r>
        <w:rPr>
          <w:rFonts w:cs="Book Antiqua" w:ascii="Book Antiqua" w:hAnsi="Book Antiqua"/>
          <w:sz w:val="20"/>
          <w:szCs w:val="20"/>
        </w:rPr>
        <w:t>40. A project may be segmented if all the following steps were taken and are documented and verifiable:</w:t>
      </w:r>
    </w:p>
    <w:p>
      <w:pPr>
        <w:pStyle w:val="Normal"/>
        <w:ind w:start="1440" w:end="0"/>
        <w:rPr>
          <w:rFonts w:ascii="Book Antiqua" w:hAnsi="Book Antiqua" w:cs="Book Antiqua"/>
          <w:sz w:val="20"/>
          <w:szCs w:val="20"/>
        </w:rPr>
      </w:pPr>
      <w:r>
        <w:rPr>
          <w:rFonts w:cs="Book Antiqua" w:ascii="Book Antiqua" w:hAnsi="Book Antiqua"/>
          <w:sz w:val="20"/>
          <w:szCs w:val="20"/>
        </w:rPr>
        <w:t>a. The contractor submitted bona fide proposals on the separate components of the project and on the entire project.</w:t>
      </w:r>
    </w:p>
    <w:p>
      <w:pPr>
        <w:pStyle w:val="Normal"/>
        <w:ind w:start="1440" w:end="0"/>
        <w:rPr>
          <w:rFonts w:ascii="Book Antiqua" w:hAnsi="Book Antiqua" w:cs="Book Antiqua"/>
          <w:sz w:val="20"/>
          <w:szCs w:val="20"/>
        </w:rPr>
      </w:pPr>
      <w:r>
        <w:rPr>
          <w:rFonts w:cs="Book Antiqua" w:ascii="Book Antiqua" w:hAnsi="Book Antiqua"/>
          <w:sz w:val="20"/>
          <w:szCs w:val="20"/>
        </w:rPr>
        <w:t>b. The customer had the right to accept the proposals on either basis.</w:t>
      </w:r>
    </w:p>
    <w:p>
      <w:pPr>
        <w:pStyle w:val="Normal"/>
        <w:ind w:start="1440" w:end="0"/>
        <w:rPr>
          <w:rFonts w:ascii="Book Antiqua" w:hAnsi="Book Antiqua" w:cs="Book Antiqua"/>
          <w:sz w:val="20"/>
          <w:szCs w:val="20"/>
        </w:rPr>
      </w:pPr>
      <w:r>
        <w:rPr>
          <w:rFonts w:cs="Book Antiqua" w:ascii="Book Antiqua" w:hAnsi="Book Antiqua"/>
          <w:sz w:val="20"/>
          <w:szCs w:val="20"/>
        </w:rPr>
        <w:t>c. The aggregate amount of the proposals on the separate components approximated the amount of the proposal on the entire project.</w:t>
      </w:r>
    </w:p>
    <w:p>
      <w:pPr>
        <w:pStyle w:val="Normal"/>
        <w:ind w:start="720" w:end="0"/>
        <w:rPr>
          <w:rFonts w:ascii="Book Antiqua" w:hAnsi="Book Antiqua" w:cs="Book Antiqua"/>
          <w:sz w:val="20"/>
          <w:szCs w:val="20"/>
        </w:rPr>
      </w:pPr>
      <w:r>
        <w:rPr>
          <w:rFonts w:cs="Book Antiqua" w:ascii="Book Antiqua" w:hAnsi="Book Antiqua"/>
          <w:sz w:val="20"/>
          <w:szCs w:val="20"/>
        </w:rPr>
        <w:t>41. A project that does not meet the criteria in paragraph .40 may be segmented only if it meets all the following criteria:</w:t>
      </w:r>
    </w:p>
    <w:p>
      <w:pPr>
        <w:pStyle w:val="Normal"/>
        <w:ind w:start="1440" w:end="0"/>
        <w:rPr>
          <w:rFonts w:ascii="Book Antiqua" w:hAnsi="Book Antiqua" w:cs="Book Antiqua"/>
          <w:sz w:val="20"/>
          <w:szCs w:val="20"/>
        </w:rPr>
      </w:pPr>
      <w:r>
        <w:rPr>
          <w:rFonts w:cs="Book Antiqua" w:ascii="Book Antiqua" w:hAnsi="Book Antiqua"/>
          <w:sz w:val="20"/>
          <w:szCs w:val="20"/>
        </w:rPr>
        <w:t>a. The terms and scope of the contract or project clearly call for separable phases or elements.</w:t>
      </w:r>
    </w:p>
    <w:p>
      <w:pPr>
        <w:pStyle w:val="Normal"/>
        <w:ind w:start="1440" w:end="0"/>
        <w:rPr>
          <w:rFonts w:ascii="Book Antiqua" w:hAnsi="Book Antiqua" w:cs="Book Antiqua"/>
          <w:sz w:val="20"/>
          <w:szCs w:val="20"/>
        </w:rPr>
      </w:pPr>
      <w:r>
        <w:rPr>
          <w:rFonts w:cs="Book Antiqua" w:ascii="Book Antiqua" w:hAnsi="Book Antiqua"/>
          <w:sz w:val="20"/>
          <w:szCs w:val="20"/>
        </w:rPr>
        <w:t>b. The separable phases or elements of the project are often bid or negotiated separately.</w:t>
      </w:r>
    </w:p>
    <w:p>
      <w:pPr>
        <w:pStyle w:val="Normal"/>
        <w:ind w:start="1440" w:end="0"/>
        <w:rPr>
          <w:rFonts w:ascii="Book Antiqua" w:hAnsi="Book Antiqua" w:cs="Book Antiqua"/>
          <w:sz w:val="20"/>
          <w:szCs w:val="20"/>
        </w:rPr>
      </w:pPr>
      <w:r>
        <w:rPr>
          <w:rFonts w:cs="Book Antiqua" w:ascii="Book Antiqua" w:hAnsi="Book Antiqua"/>
          <w:sz w:val="20"/>
          <w:szCs w:val="20"/>
        </w:rPr>
        <w:t>c. The market assigns different gross profit rates to the segments because of factors such as different levels of risk or differences in the relationship of the supply and demand for the services provided in different segments.</w:t>
      </w:r>
    </w:p>
    <w:p>
      <w:pPr>
        <w:pStyle w:val="Normal"/>
        <w:ind w:start="1440" w:end="0"/>
        <w:rPr/>
      </w:pPr>
      <w:r>
        <w:rPr>
          <w:rFonts w:cs="Book Antiqua" w:ascii="Book Antiqua" w:hAnsi="Book Antiqua"/>
          <w:sz w:val="20"/>
          <w:szCs w:val="20"/>
        </w:rPr>
        <w:t>d. The contractor has a significant history of providing similar services to other customers under separate contracts for each significant segment to which a profit margin higher than the overall profit margin on the project is ascribed.</w:t>
      </w:r>
      <w:r>
        <w:rPr>
          <w:rFonts w:cs="Book Antiqua" w:ascii="Book Antiqua" w:hAnsi="Book Antiqua"/>
          <w:sz w:val="20"/>
          <w:szCs w:val="20"/>
          <w:vertAlign w:val="superscript"/>
        </w:rPr>
        <w:t>7</w:t>
      </w:r>
    </w:p>
    <w:p>
      <w:pPr>
        <w:pStyle w:val="Normal"/>
        <w:ind w:start="2880" w:end="0"/>
        <w:rPr/>
      </w:pPr>
      <w:r>
        <w:rPr>
          <w:rFonts w:cs="Book Antiqua" w:ascii="Book Antiqua" w:hAnsi="Book Antiqua"/>
          <w:sz w:val="20"/>
          <w:szCs w:val="20"/>
          <w:vertAlign w:val="superscript"/>
        </w:rPr>
        <w:t xml:space="preserve">7 </w:t>
      </w:r>
      <w:r>
        <w:rPr>
          <w:rFonts w:cs="Book Antiqua" w:ascii="Book Antiqua" w:hAnsi="Book Antiqua"/>
          <w:sz w:val="20"/>
          <w:szCs w:val="20"/>
        </w:rPr>
        <w:t>In applying the criterion in paragraph .41(</w:t>
      </w:r>
      <w:r>
        <w:rPr>
          <w:rFonts w:cs="Book Antiqua" w:ascii="Book Antiqua" w:hAnsi="Book Antiqua"/>
          <w:i/>
          <w:iCs/>
          <w:sz w:val="20"/>
          <w:szCs w:val="20"/>
        </w:rPr>
        <w:t>d</w:t>
      </w:r>
      <w:r>
        <w:rPr>
          <w:rFonts w:cs="Book Antiqua" w:ascii="Book Antiqua" w:hAnsi="Book Antiqua"/>
          <w:sz w:val="20"/>
          <w:szCs w:val="20"/>
        </w:rPr>
        <w:t>), values assignable to the segments should be on the basis of the contractor's normal historical prices and terms of such services to other customers. The division considered but rejected the concept of allowing a contractor to segment on the basis of prices charged by other contractors, since it does not follow that those prices could have been obtained by a contractor who has no history in the market.</w:t>
      </w:r>
    </w:p>
    <w:p>
      <w:pPr>
        <w:pStyle w:val="Normal"/>
        <w:ind w:start="1440" w:end="0"/>
        <w:rPr>
          <w:rFonts w:ascii="Book Antiqua" w:hAnsi="Book Antiqua" w:cs="Book Antiqua"/>
          <w:sz w:val="20"/>
          <w:szCs w:val="20"/>
        </w:rPr>
      </w:pPr>
      <w:r>
        <w:rPr>
          <w:rFonts w:cs="Book Antiqua" w:ascii="Book Antiqua" w:hAnsi="Book Antiqua"/>
          <w:sz w:val="20"/>
          <w:szCs w:val="20"/>
        </w:rPr>
        <w:t>e. The significant history with customers who have contracted for services separately is one that is relatively stable in terms of pricing policy rather than one unduly weighted by erratic pricing decisions (responding, for example, to extraordinary economic circumstances or to unique customer-contractor relationships).</w:t>
      </w:r>
    </w:p>
    <w:p>
      <w:pPr>
        <w:pStyle w:val="Normal"/>
        <w:ind w:start="1440" w:end="0"/>
        <w:rPr>
          <w:rFonts w:ascii="Book Antiqua" w:hAnsi="Book Antiqua" w:cs="Book Antiqua"/>
          <w:sz w:val="20"/>
          <w:szCs w:val="20"/>
        </w:rPr>
      </w:pPr>
      <w:r>
        <w:rPr>
          <w:rFonts w:cs="Book Antiqua" w:ascii="Book Antiqua" w:hAnsi="Book Antiqua"/>
          <w:sz w:val="20"/>
          <w:szCs w:val="20"/>
        </w:rPr>
        <w:t>f. The excess of the sum of the prices of the separate elements over the price of the total project is clearly attributable to cost savings incident to combined performance of the contract obligations (for example, cost savings in supervision, overhead, or equipment mobilization). Unless this condition is met, segmenting a contract with a price substantially less than the sum of the prices of the separate phases or elements would be inappropriate even if the other conditions are met. Acceptable price variations should be allocated to the separate phases or elements in proportion to the prices ascribed to each. In all other situations a substantial difference in price (whether more or less) between the separate elements and the price of the total project is evidence that the contractor has accepted different profit margins. Accordingly, segmenting is not appropriate, and the contracts should be the profit centers.</w:t>
      </w:r>
    </w:p>
    <w:p>
      <w:pPr>
        <w:pStyle w:val="Normal"/>
        <w:ind w:start="1440" w:end="0"/>
        <w:rPr>
          <w:rFonts w:ascii="Book Antiqua" w:hAnsi="Book Antiqua" w:cs="Book Antiqua"/>
          <w:sz w:val="20"/>
          <w:szCs w:val="20"/>
        </w:rPr>
      </w:pPr>
      <w:r>
        <w:rPr>
          <w:rFonts w:cs="Book Antiqua" w:ascii="Book Antiqua" w:hAnsi="Book Antiqua"/>
          <w:sz w:val="20"/>
          <w:szCs w:val="20"/>
        </w:rPr>
        <w:t>g. The similarity of services and prices in the contract segments and services and the prices of such services to other customers contracted separately should be documented and verifiable.</w:t>
      </w:r>
    </w:p>
    <w:p>
      <w:pPr>
        <w:pStyle w:val="Normal"/>
        <w:rPr/>
      </w:pPr>
      <w:r>
        <w:rPr>
          <w:rFonts w:cs="Book Antiqua" w:ascii="Book Antiqua" w:hAnsi="Book Antiqua"/>
        </w:rPr>
        <w:t>The EITF is currently addressing when and how a company that is providing more than one revenue generating activity or deliverable should separate and account for a multiple element</w:t>
      </w:r>
      <w:r>
        <w:rPr>
          <w:rFonts w:cs="Book Antiqua" w:ascii="Book Antiqua" w:hAnsi="Book Antiqua"/>
          <w:strike/>
        </w:rPr>
        <w:t>s</w:t>
      </w:r>
      <w:r>
        <w:rPr>
          <w:rFonts w:cs="Book Antiqua" w:ascii="Book Antiqua" w:hAnsi="Book Antiqua"/>
        </w:rPr>
        <w:t xml:space="preserve"> arrangement (see EITF Issue No. 00-21, "Accounting for Multiple-Element Revenue Arrangements </w:t>
      </w:r>
      <w:r>
        <w:rPr>
          <w:color w:val="0000FF"/>
        </w:rPr>
        <w:drawing>
          <wp:inline distT="0" distB="0" distL="0" distR="0">
            <wp:extent cx="114300" cy="133350"/>
            <wp:effectExtent l="0" t="0" r="0" b="0"/>
            <wp:docPr id="17" name="Image16" descr="" titl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a:hlinkClick r:id="rId36"/>
                    </pic:cNvPr>
                    <pic:cNvPicPr>
                      <a:picLocks noChangeAspect="1" noChangeArrowheads="1"/>
                    </pic:cNvPicPr>
                  </pic:nvPicPr>
                  <pic:blipFill>
                    <a:blip r:embed="rId3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w:t>
      </w:r>
      <w:r>
        <w:rPr/>
        <w:br/>
        <w:br/>
      </w:r>
      <w:r>
        <w:rPr>
          <w:rFonts w:cs="Book Antiqua" w:ascii="Book Antiqua" w:hAnsi="Book Antiqua"/>
        </w:rPr>
        <w:t xml:space="preserve">Pending a consensus by the EITF on Issue 00-21, the SEC staff has provided guidance for multiple element arrangements in its publication, Staff Accounting Bulletin (SAB) No. 101, </w:t>
      </w:r>
      <w:r>
        <w:rPr>
          <w:rFonts w:cs="Book Antiqua" w:ascii="Book Antiqua" w:hAnsi="Book Antiqua"/>
          <w:i/>
          <w:iCs/>
        </w:rPr>
        <w:t xml:space="preserve">Revenue Recognition in Financial Statements -- Frequently Asked Questions and Answers </w:t>
      </w:r>
      <w:r>
        <w:rPr>
          <w:color w:val="0000FF"/>
        </w:rPr>
        <w:drawing>
          <wp:inline distT="0" distB="0" distL="0" distR="0">
            <wp:extent cx="114300" cy="133350"/>
            <wp:effectExtent l="0" t="0" r="0" b="0"/>
            <wp:docPr id="18" name="Image17" descr="" titl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a:hlinkClick r:id="rId38"/>
                    </pic:cNvPr>
                    <pic:cNvPicPr>
                      <a:picLocks noChangeAspect="1" noChangeArrowheads="1"/>
                    </pic:cNvPicPr>
                  </pic:nvPicPr>
                  <pic:blipFill>
                    <a:blip r:embed="rId37"/>
                    <a:srcRect l="-314" t="-270" r="-314" b="-270"/>
                    <a:stretch>
                      <a:fillRect/>
                    </a:stretch>
                  </pic:blipFill>
                  <pic:spPr bwMode="auto">
                    <a:xfrm>
                      <a:off x="0" y="0"/>
                      <a:ext cx="114300" cy="133350"/>
                    </a:xfrm>
                    <a:prstGeom prst="rect">
                      <a:avLst/>
                    </a:prstGeom>
                    <a:noFill/>
                  </pic:spPr>
                </pic:pic>
              </a:graphicData>
            </a:graphic>
          </wp:inline>
        </w:drawing>
      </w:r>
      <w:r>
        <w:rPr/>
        <w:t xml:space="preserve">." </w:t>
      </w:r>
      <w:r>
        <w:rPr>
          <w:rFonts w:cs="Book Antiqua" w:ascii="Book Antiqua" w:hAnsi="Book Antiqua"/>
        </w:rPr>
        <w:t xml:space="preserve">We believe this guidance provides criteria that should be considered when determining whether a single IRU may be bifurcated into discrete segments. Specifically, Question 4 </w:t>
      </w:r>
      <w:r>
        <w:rPr>
          <w:color w:val="0000FF"/>
        </w:rPr>
        <w:drawing>
          <wp:inline distT="0" distB="0" distL="0" distR="0">
            <wp:extent cx="114300" cy="133350"/>
            <wp:effectExtent l="0" t="0" r="0" b="0"/>
            <wp:docPr id="19" name="Image18" descr="" titl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a:hlinkClick r:id="rId40"/>
                    </pic:cNvPr>
                    <pic:cNvPicPr>
                      <a:picLocks noChangeAspect="1" noChangeArrowheads="1"/>
                    </pic:cNvPicPr>
                  </pic:nvPicPr>
                  <pic:blipFill>
                    <a:blip r:embed="rId3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that publication provides the following guidance:</w:t>
      </w:r>
    </w:p>
    <w:p>
      <w:pPr>
        <w:pStyle w:val="Normal"/>
        <w:ind w:start="720" w:end="0"/>
        <w:rPr/>
      </w:pPr>
      <w:r>
        <w:rPr>
          <w:rFonts w:cs="Book Antiqua" w:ascii="Book Antiqua" w:hAnsi="Book Antiqua"/>
          <w:b/>
          <w:bCs/>
          <w:sz w:val="20"/>
          <w:szCs w:val="20"/>
        </w:rPr>
        <w:t>Q:</w:t>
      </w:r>
      <w:r>
        <w:rPr>
          <w:rFonts w:cs="Book Antiqua" w:ascii="Book Antiqua" w:hAnsi="Book Antiqua"/>
          <w:sz w:val="20"/>
          <w:szCs w:val="20"/>
        </w:rPr>
        <w:t xml:space="preserve"> Although SAB 101 does not establish a framework for accounting for multiple-element arrangements, what factors would the staff consider in assessing whether an arrangement is accounted for as a multiple-element arrangement?</w:t>
      </w:r>
    </w:p>
    <w:p>
      <w:pPr>
        <w:pStyle w:val="Normal"/>
        <w:ind w:start="720" w:end="0"/>
        <w:rPr/>
      </w:pPr>
      <w:r>
        <w:rPr>
          <w:rFonts w:cs="Book Antiqua" w:ascii="Book Antiqua" w:hAnsi="Book Antiqua"/>
          <w:b/>
          <w:bCs/>
          <w:sz w:val="20"/>
          <w:szCs w:val="20"/>
        </w:rPr>
        <w:t>A:</w:t>
      </w:r>
      <w:r>
        <w:rPr>
          <w:rFonts w:cs="Book Antiqua" w:ascii="Book Antiqua" w:hAnsi="Book Antiqua"/>
          <w:sz w:val="20"/>
          <w:szCs w:val="20"/>
        </w:rPr>
        <w:t xml:space="preserve"> SAB 101 does not modify existing practice in accounting for multiple-element arrangements. Recognizing the diversity in practice in the accounting for multiple-element arrangements and the complexity of these arrangements, the staff asked the Emerging Issues Task Force (EITF) </w:t>
      </w:r>
      <w:r>
        <w:rPr>
          <w:rFonts w:cs="Book Antiqua" w:ascii="Book Antiqua" w:hAnsi="Book Antiqua"/>
          <w:i/>
          <w:iCs/>
          <w:sz w:val="20"/>
          <w:szCs w:val="20"/>
        </w:rPr>
        <w:t>and</w:t>
      </w:r>
      <w:r>
        <w:rPr>
          <w:rFonts w:cs="Book Antiqua" w:ascii="Book Antiqua" w:hAnsi="Book Antiqua"/>
          <w:sz w:val="20"/>
          <w:szCs w:val="20"/>
        </w:rPr>
        <w:t xml:space="preserve"> the Auditing Standards Board (ASB) to provide additional accounting and auditing guidance on those transactions. The EITF has added Issue No. 00-21, </w:t>
      </w:r>
      <w:r>
        <w:rPr>
          <w:rFonts w:cs="Book Antiqua" w:ascii="Book Antiqua" w:hAnsi="Book Antiqua"/>
          <w:i/>
          <w:iCs/>
          <w:sz w:val="20"/>
          <w:szCs w:val="20"/>
        </w:rPr>
        <w:t>Accounting for Multiple Element Revenue Arrangements</w:t>
      </w:r>
      <w:r>
        <w:rPr>
          <w:rFonts w:cs="Book Antiqua" w:ascii="Book Antiqua" w:hAnsi="Book Antiqua"/>
          <w:sz w:val="20"/>
          <w:szCs w:val="20"/>
        </w:rPr>
        <w:t>, to its agenda to address the accounting issues. Pending additional guidance, registrants should use a reasoned method of accounting for multiple-element arrangements that is applied consistently and disclosed appropriately. In response to questions, the staff has stated that it will not object to a method that includes the following conditions.</w:t>
      </w:r>
    </w:p>
    <w:p>
      <w:pPr>
        <w:pStyle w:val="Normal"/>
        <w:ind w:start="1440" w:end="0"/>
        <w:rPr/>
      </w:pPr>
      <w:r>
        <w:rPr/>
        <w:t xml:space="preserve">1. </w:t>
      </w:r>
      <w:r>
        <w:rPr>
          <w:rFonts w:cs="Book Antiqua" w:ascii="Book Antiqua" w:hAnsi="Book Antiqua"/>
          <w:i/>
          <w:iCs/>
          <w:sz w:val="20"/>
          <w:szCs w:val="20"/>
        </w:rPr>
        <w:t>To be considered a separate element, the product or service in question represents a separate earnings process.</w:t>
      </w:r>
      <w:r>
        <w:rPr>
          <w:rFonts w:cs="Book Antiqua" w:ascii="Book Antiqua" w:hAnsi="Book Antiqua"/>
          <w:sz w:val="20"/>
          <w:szCs w:val="20"/>
        </w:rPr>
        <w:t xml:space="preserve"> The staff notes that determining whether an obligation represents a separate element requires significant judgment. The staff also notes that the best indicator that a separate element exists is that a vendor sells or could readily sell that element unaccompanied by other elements.</w:t>
      </w:r>
      <w:r>
        <w:rPr/>
        <w:t xml:space="preserve"> </w:t>
      </w:r>
    </w:p>
    <w:p>
      <w:pPr>
        <w:pStyle w:val="NormalWeb"/>
        <w:spacing w:before="0" w:after="0"/>
        <w:ind w:start="1440" w:end="0"/>
        <w:rPr/>
      </w:pPr>
      <w:r>
        <w:rPr/>
        <w:t xml:space="preserve">2. </w:t>
      </w:r>
      <w:r>
        <w:rPr>
          <w:rFonts w:cs="Book Antiqua" w:ascii="Book Antiqua" w:hAnsi="Book Antiqua"/>
          <w:i/>
          <w:iCs/>
          <w:sz w:val="20"/>
          <w:szCs w:val="20"/>
        </w:rPr>
        <w:t>Revenue is allocated among the elements based on the fair value of the elements.</w:t>
      </w:r>
      <w:r>
        <w:rPr>
          <w:rFonts w:cs="Book Antiqua" w:ascii="Book Antiqua" w:hAnsi="Book Antiqua"/>
          <w:sz w:val="20"/>
          <w:szCs w:val="20"/>
        </w:rPr>
        <w:t xml:space="preserve"> The fair values used for the allocations should be reliable, verifiable and objectively determinable. The staff does not believe that allocating revenue among the elements based solely on cost plus a profit margin that is not specific to the particular product or service is acceptable because, in the absence of other evidence of fair value, there is no objective means to verify what a profit margin should be for the particular element(s). Additional guidance on allocating among elements may be found in SOP 81-1, paragraphs 35 through 42; SOP 97-2, paragraphs 9 through 14; and SOP 98-9, </w:t>
      </w:r>
      <w:r>
        <w:rPr>
          <w:rFonts w:cs="Book Antiqua" w:ascii="Book Antiqua" w:hAnsi="Book Antiqua"/>
          <w:i/>
          <w:iCs/>
          <w:sz w:val="20"/>
          <w:szCs w:val="20"/>
        </w:rPr>
        <w:t>Modification of SOP 97-2, Software Revenue Recognition, With Respect to Certain Transactions</w:t>
      </w:r>
      <w:r>
        <w:rPr>
          <w:rFonts w:cs="Book Antiqua" w:ascii="Book Antiqua" w:hAnsi="Book Antiqua"/>
          <w:sz w:val="20"/>
          <w:szCs w:val="20"/>
        </w:rPr>
        <w:t>. All of the methods of allocating revenue in those SOPs, including the residual method discussed in SOP 98-9, are acceptable. If sufficient evidence of the fair values of the individual elements does not exist, revenue would not be allocated among them until that evidence exists. Instead, the revenue would be recognized as earned using revenue recognition principles applicable to the entire arrangement as if it were a single element arrangement. Prices listed in a multiple-element arrangement with a customer may not be representative of fair value of those elements because the prices of the different components of the arrangement can be altered in negotiations and still result in the same aggregate consideration.</w:t>
      </w:r>
      <w:r>
        <w:rPr/>
        <w:t xml:space="preserve"> </w:t>
      </w:r>
    </w:p>
    <w:p>
      <w:pPr>
        <w:pStyle w:val="NormalWeb"/>
        <w:spacing w:before="0" w:after="0"/>
        <w:ind w:start="1440" w:end="0"/>
        <w:rPr/>
      </w:pPr>
      <w:r>
        <w:rPr/>
        <w:t xml:space="preserve">3. </w:t>
      </w:r>
      <w:r>
        <w:rPr>
          <w:rFonts w:cs="Book Antiqua" w:ascii="Book Antiqua" w:hAnsi="Book Antiqua"/>
          <w:i/>
          <w:iCs/>
          <w:sz w:val="20"/>
          <w:szCs w:val="20"/>
        </w:rPr>
        <w:t>If an undelivered element is essential to the functionality of a delivered element, no revenue allocated to the delivered element is recognized until that undelivered element is delivered.</w:t>
      </w:r>
      <w:r>
        <w:rPr>
          <w:rFonts w:cs="Book Antiqua" w:ascii="Book Antiqua" w:hAnsi="Book Antiqua"/>
          <w:sz w:val="20"/>
          <w:szCs w:val="20"/>
        </w:rPr>
        <w:t xml:space="preserve"> [text omitted]</w:t>
      </w:r>
    </w:p>
    <w:p>
      <w:pPr>
        <w:pStyle w:val="Normal"/>
        <w:rPr/>
      </w:pPr>
      <w:r>
        <w:rPr>
          <w:rFonts w:cs="Book Antiqua" w:ascii="Book Antiqua" w:hAnsi="Book Antiqua"/>
        </w:rPr>
        <w:t xml:space="preserve">In assessing whether the third condition above is met, Question 7 </w:t>
      </w:r>
      <w:r>
        <w:rPr>
          <w:color w:val="0000FF"/>
        </w:rPr>
        <w:drawing>
          <wp:inline distT="0" distB="0" distL="0" distR="0">
            <wp:extent cx="114300" cy="133350"/>
            <wp:effectExtent l="0" t="0" r="0" b="0"/>
            <wp:docPr id="20" name="Image19" descr="" titl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a:hlinkClick r:id="rId42"/>
                    </pic:cNvPr>
                    <pic:cNvPicPr>
                      <a:picLocks noChangeAspect="1" noChangeArrowheads="1"/>
                    </pic:cNvPicPr>
                  </pic:nvPicPr>
                  <pic:blipFill>
                    <a:blip r:embed="rId4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the staff's publication provides</w:t>
      </w:r>
      <w:r>
        <w:rPr>
          <w:rFonts w:cs="Book Antiqua" w:ascii="Book Antiqua" w:hAnsi="Book Antiqua"/>
          <w:b/>
          <w:bCs/>
        </w:rPr>
        <w:t xml:space="preserve"> </w:t>
      </w:r>
      <w:r>
        <w:rPr>
          <w:rFonts w:cs="Book Antiqua" w:ascii="Book Antiqua" w:hAnsi="Book Antiqua"/>
        </w:rPr>
        <w:t>examples of indicators that installation is essential to the functionality of equipment</w:t>
      </w:r>
      <w:r>
        <w:rPr>
          <w:rFonts w:cs="Book Antiqua" w:ascii="Book Antiqua" w:hAnsi="Book Antiqua"/>
          <w:sz w:val="20"/>
          <w:szCs w:val="20"/>
        </w:rPr>
        <w:t>, including</w:t>
      </w:r>
      <w:r>
        <w:rPr>
          <w:rFonts w:cs="Book Antiqua" w:ascii="Book Antiqua" w:hAnsi="Book Antiqua"/>
        </w:rPr>
        <w:t>:</w:t>
      </w:r>
    </w:p>
    <w:p>
      <w:pPr>
        <w:pStyle w:val="Normal"/>
        <w:numPr>
          <w:ilvl w:val="1"/>
          <w:numId w:val="18"/>
        </w:numPr>
        <w:spacing w:before="100" w:after="100"/>
        <w:rPr/>
      </w:pPr>
      <w:r>
        <w:rPr>
          <w:rFonts w:cs="Book Antiqua" w:ascii="Book Antiqua" w:hAnsi="Book Antiqua"/>
        </w:rPr>
        <w:t>The installation involves significant changes to the features or capabilities of the equipment or building complex interfaces or connections; or</w:t>
      </w:r>
    </w:p>
    <w:p>
      <w:pPr>
        <w:pStyle w:val="Normal"/>
        <w:numPr>
          <w:ilvl w:val="1"/>
          <w:numId w:val="6"/>
        </w:numPr>
        <w:spacing w:before="100" w:after="100"/>
        <w:rPr/>
      </w:pPr>
      <w:r>
        <w:rPr>
          <w:rFonts w:cs="Book Antiqua" w:ascii="Book Antiqua" w:hAnsi="Book Antiqua"/>
        </w:rPr>
        <w:t xml:space="preserve">The installation services are unavailable from other vendors (see SOP 97-2, paragraphs 68-71 </w:t>
      </w:r>
      <w:r>
        <w:rPr>
          <w:color w:val="0000FF"/>
        </w:rPr>
        <w:drawing>
          <wp:inline distT="0" distB="0" distL="0" distR="0">
            <wp:extent cx="114300" cy="133350"/>
            <wp:effectExtent l="0" t="0" r="0" b="0"/>
            <wp:docPr id="21" name="Image20" descr="" titl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a:hlinkClick r:id="rId44"/>
                    </pic:cNvPr>
                    <pic:cNvPicPr>
                      <a:picLocks noChangeAspect="1" noChangeArrowheads="1"/>
                    </pic:cNvPicPr>
                  </pic:nvPicPr>
                  <pic:blipFill>
                    <a:blip r:embed="rId4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for analogous guidance).</w:t>
      </w:r>
    </w:p>
    <w:p>
      <w:pPr>
        <w:pStyle w:val="Normal"/>
        <w:rPr>
          <w:rFonts w:ascii="Book Antiqua" w:hAnsi="Book Antiqua" w:cs="Book Antiqua"/>
        </w:rPr>
      </w:pPr>
      <w:r>
        <w:rPr>
          <w:rFonts w:cs="Book Antiqua" w:ascii="Book Antiqua" w:hAnsi="Book Antiqua"/>
        </w:rPr>
        <w:t>The staff's guidance also provides examples of indicators that installation is not essential to the functionality of the equipment, including:</w:t>
      </w:r>
    </w:p>
    <w:p>
      <w:pPr>
        <w:pStyle w:val="Normal"/>
        <w:numPr>
          <w:ilvl w:val="1"/>
          <w:numId w:val="1"/>
        </w:numPr>
        <w:spacing w:before="100" w:after="100"/>
        <w:rPr/>
      </w:pPr>
      <w:r>
        <w:rPr>
          <w:rFonts w:cs="Book Antiqua" w:ascii="Book Antiqua" w:hAnsi="Book Antiqua"/>
        </w:rPr>
        <w:t>The equipment is a standard product;</w:t>
      </w:r>
      <w:r>
        <w:rPr/>
        <w:t xml:space="preserve"> </w:t>
      </w:r>
    </w:p>
    <w:p>
      <w:pPr>
        <w:pStyle w:val="Normal"/>
        <w:numPr>
          <w:ilvl w:val="1"/>
          <w:numId w:val="1"/>
        </w:numPr>
        <w:spacing w:before="100" w:after="100"/>
        <w:rPr/>
      </w:pPr>
      <w:r>
        <w:rPr>
          <w:rFonts w:cs="Book Antiqua" w:ascii="Book Antiqua" w:hAnsi="Book Antiqua"/>
        </w:rPr>
        <w:t>Installation does not significantly alter the equipment's capabilities; and</w:t>
      </w:r>
      <w:r>
        <w:rPr/>
        <w:t xml:space="preserve"> </w:t>
      </w:r>
    </w:p>
    <w:p>
      <w:pPr>
        <w:pStyle w:val="Normal"/>
        <w:numPr>
          <w:ilvl w:val="1"/>
          <w:numId w:val="1"/>
        </w:numPr>
        <w:spacing w:before="100" w:after="100"/>
        <w:rPr/>
      </w:pPr>
      <w:r>
        <w:rPr>
          <w:rFonts w:cs="Book Antiqua" w:ascii="Book Antiqua" w:hAnsi="Book Antiqua"/>
        </w:rPr>
        <w:t>Other companies are available to perform that job.</w:t>
      </w:r>
    </w:p>
    <w:p>
      <w:pPr>
        <w:pStyle w:val="Normal"/>
        <w:rPr/>
      </w:pPr>
      <w:r>
        <w:rPr>
          <w:rFonts w:cs="Book Antiqua" w:ascii="Book Antiqua" w:hAnsi="Book Antiqua"/>
        </w:rPr>
        <w:t xml:space="preserve">As further discussed in Section 2.D.3.5., "Fair Value of the Leased Asset </w:t>
      </w:r>
      <w:r>
        <w:rPr>
          <w:color w:val="0000FF"/>
        </w:rPr>
        <w:drawing>
          <wp:inline distT="0" distB="0" distL="0" distR="0">
            <wp:extent cx="114300" cy="133350"/>
            <wp:effectExtent l="0" t="0" r="0" b="0"/>
            <wp:docPr id="22" name="Image21" descr="" titl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title="">
                      <a:hlinkClick r:id="rId46"/>
                    </pic:cNvPr>
                    <pic:cNvPicPr>
                      <a:picLocks noChangeAspect="1" noChangeArrowheads="1"/>
                    </pic:cNvPicPr>
                  </pic:nvPicPr>
                  <pic:blipFill>
                    <a:blip r:embed="rId4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we believe the best evidence of reliable, verifiable and objectively determinable fair values is arms-length cash transactions executed by the specific network provider for each of the discrete segments of an IRU that may be subject to bifurcation.</w:t>
      </w:r>
      <w:r>
        <w:rPr/>
        <w:br/>
        <w:br/>
      </w:r>
      <w:r>
        <w:rPr>
          <w:rFonts w:cs="Book Antiqua" w:ascii="Book Antiqua" w:hAnsi="Book Antiqua"/>
        </w:rPr>
        <w:t>These criteria represent a high hurdle for segmenting a single IRU.</w:t>
      </w:r>
      <w:r>
        <w:rPr/>
        <w:br/>
        <w:br/>
      </w:r>
      <w:r>
        <w:rPr>
          <w:rFonts w:cs="Book Antiqua" w:ascii="Book Antiqua" w:hAnsi="Book Antiqua"/>
          <w:b/>
          <w:bCs/>
          <w:highlight w:val="yellow"/>
        </w:rPr>
        <w:t>2</w:t>
      </w:r>
      <w:r>
        <w:rPr>
          <w:rFonts w:cs="Book Antiqua" w:ascii="Book Antiqua" w:hAnsi="Book Antiqua"/>
          <w:highlight w:val="yellow"/>
        </w:rPr>
        <w:t>.</w:t>
      </w:r>
      <w:r>
        <w:rPr>
          <w:rFonts w:cs="Book Antiqua" w:ascii="Book Antiqua" w:hAnsi="Book Antiqua"/>
          <w:b/>
          <w:bCs/>
          <w:highlight w:val="yellow"/>
        </w:rPr>
        <w:t>D.2. Real Estate</w:t>
      </w:r>
      <w:r>
        <w:rPr/>
        <w:br/>
        <w:br/>
      </w:r>
      <w:r>
        <w:rPr>
          <w:rFonts w:cs="Book Antiqua" w:ascii="Book Antiqua" w:hAnsi="Book Antiqua"/>
        </w:rPr>
        <w:t xml:space="preserve">(Updated December 2000 </w:t>
      </w:r>
      <w:r>
        <w:rPr>
          <w:color w:val="0000FF"/>
        </w:rPr>
        <w:drawing>
          <wp:inline distT="0" distB="0" distL="0" distR="0">
            <wp:extent cx="114300" cy="133350"/>
            <wp:effectExtent l="0" t="0" r="0" b="0"/>
            <wp:docPr id="23" name="Image22" descr="" titl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title="">
                      <a:hlinkClick r:id="rId48"/>
                    </pic:cNvPr>
                    <pic:cNvPicPr>
                      <a:picLocks noChangeAspect="1" noChangeArrowheads="1"/>
                    </pic:cNvPicPr>
                  </pic:nvPicPr>
                  <pic:blipFill>
                    <a:blip r:embed="rId4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highlight w:val="yellow"/>
        </w:rPr>
        <w:t xml:space="preserve">The accounting literature relating to leases involving real estate is significantly different from that relating to leases not involving real estate. We have historically viewed the majority of the assets that comprise the network to be equipment and </w:t>
      </w:r>
      <w:r>
        <w:rPr>
          <w:rFonts w:cs="Book Antiqua" w:ascii="Book Antiqua" w:hAnsi="Book Antiqua"/>
          <w:highlight w:val="yellow"/>
          <w:u w:val="single"/>
        </w:rPr>
        <w:t>not</w:t>
      </w:r>
      <w:r>
        <w:rPr>
          <w:rFonts w:cs="Book Antiqua" w:ascii="Book Antiqua" w:hAnsi="Book Antiqua"/>
          <w:highlight w:val="yellow"/>
        </w:rPr>
        <w:t xml:space="preserve"> real estate.</w:t>
      </w:r>
      <w:r>
        <w:rPr>
          <w:rFonts w:cs="Book Antiqua" w:ascii="Book Antiqua" w:hAnsi="Book Antiqua"/>
        </w:rPr>
        <w:t xml:space="preserve"> </w:t>
      </w:r>
      <w:r>
        <w:rPr/>
        <w:br/>
        <w:br/>
      </w:r>
      <w:r>
        <w:rPr>
          <w:rFonts w:cs="Book Antiqua" w:ascii="Book Antiqua" w:hAnsi="Book Antiqua"/>
          <w:highlight w:val="yellow"/>
        </w:rPr>
        <w:t xml:space="preserve">However, in June 1999, the FASB issued FASB Interpretation No. 43, </w:t>
      </w:r>
      <w:r>
        <w:rPr>
          <w:rFonts w:cs="Book Antiqua" w:ascii="Book Antiqua" w:hAnsi="Book Antiqua"/>
          <w:i/>
          <w:iCs/>
          <w:highlight w:val="yellow"/>
        </w:rPr>
        <w:t>Real Estate Sales: An interpretation of FASB Statement No. 66,</w:t>
      </w:r>
      <w:r>
        <w:rPr>
          <w:rFonts w:cs="Book Antiqua" w:ascii="Book Antiqua" w:hAnsi="Book Antiqua"/>
          <w:highlight w:val="yellow"/>
        </w:rPr>
        <w:t xml:space="preserve"> (FIN 43 </w:t>
      </w:r>
      <w:r>
        <w:rPr>
          <w:color w:val="0000FF"/>
          <w:highlight w:val="yellow"/>
        </w:rPr>
        <w:drawing>
          <wp:inline distT="0" distB="0" distL="0" distR="0">
            <wp:extent cx="114300" cy="133350"/>
            <wp:effectExtent l="0" t="0" r="0" b="0"/>
            <wp:docPr id="24" name="Image23" descr="" titl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title="">
                      <a:hlinkClick r:id="rId50"/>
                    </pic:cNvPr>
                    <pic:cNvPicPr>
                      <a:picLocks noChangeAspect="1" noChangeArrowheads="1"/>
                    </pic:cNvPicPr>
                  </pic:nvPicPr>
                  <pic:blipFill>
                    <a:blip r:embed="rId4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w:t>
      </w:r>
      <w:r>
        <w:rPr/>
        <w:br/>
        <w:br/>
      </w:r>
      <w:r>
        <w:rPr>
          <w:rFonts w:cs="Book Antiqua" w:ascii="Book Antiqua" w:hAnsi="Book Antiqua"/>
        </w:rPr>
        <w:t xml:space="preserve">FIN 43 clarifies the scope of FASB Statement of Financial Accounting Standards No. 66, </w:t>
      </w:r>
      <w:r>
        <w:rPr>
          <w:rFonts w:cs="Book Antiqua" w:ascii="Book Antiqua" w:hAnsi="Book Antiqua"/>
          <w:i/>
          <w:iCs/>
        </w:rPr>
        <w:t>Accounting for Sales of Real Estate</w:t>
      </w:r>
      <w:r>
        <w:rPr>
          <w:rFonts w:cs="Book Antiqua" w:ascii="Book Antiqua" w:hAnsi="Book Antiqua"/>
        </w:rPr>
        <w:t xml:space="preserve"> (Statement 66 </w:t>
      </w:r>
      <w:r>
        <w:rPr>
          <w:color w:val="0000FF"/>
        </w:rPr>
        <w:drawing>
          <wp:inline distT="0" distB="0" distL="0" distR="0">
            <wp:extent cx="114300" cy="133350"/>
            <wp:effectExtent l="0" t="0" r="0" b="0"/>
            <wp:docPr id="25" name="Image24" descr="" title="">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title="">
                      <a:hlinkClick r:id="rId52"/>
                    </pic:cNvPr>
                    <pic:cNvPicPr>
                      <a:picLocks noChangeAspect="1" noChangeArrowheads="1"/>
                    </pic:cNvPicPr>
                  </pic:nvPicPr>
                  <pic:blipFill>
                    <a:blip r:embed="rId5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Statement 66 deals with the recognition of profit on "all real estate sales." FIN 43 clarifies that the expression "all real estate sales" includes sales of real estate with property improvements or integral equipment. The interpretation is effective for all real estate transactions with property improvements or integral equipment entered into after June 30, 1999.</w:t>
      </w:r>
      <w:r>
        <w:rPr/>
        <w:br/>
        <w:br/>
      </w:r>
      <w:r>
        <w:rPr>
          <w:rFonts w:cs="Book Antiqua" w:ascii="Book Antiqua" w:hAnsi="Book Antiqua"/>
          <w:highlight w:val="yellow"/>
        </w:rPr>
        <w:t>FIN 43 defines the terms "property improvements" and "integral equipment" to refer to any physical structure or equipment attached to the real estate that cannot be removed and used separately without incurring significant cost. It</w:t>
      </w:r>
      <w:r>
        <w:rPr>
          <w:rFonts w:cs="Book Antiqua" w:ascii="Book Antiqua" w:hAnsi="Book Antiqua"/>
        </w:rPr>
        <w:t xml:space="preserve"> gives as examples an office building, a manufacturing facility, a power plant, and a refinery.</w:t>
      </w:r>
      <w:r>
        <w:rPr/>
        <w:br/>
        <w:br/>
      </w:r>
      <w:r>
        <w:rPr>
          <w:rFonts w:cs="Book Antiqua" w:ascii="Book Antiqua" w:hAnsi="Book Antiqua"/>
          <w:highlight w:val="yellow"/>
        </w:rPr>
        <w:t>The issue is whether network-related assets fall within the definition of property improvements or integral equipment as defined, and therefore within the scope of Statement 66.</w:t>
      </w:r>
      <w:r>
        <w:rPr/>
        <w:br/>
        <w:br/>
      </w:r>
      <w:r>
        <w:rPr>
          <w:rFonts w:cs="Book Antiqua" w:ascii="Book Antiqua" w:hAnsi="Book Antiqua"/>
        </w:rPr>
        <w:t xml:space="preserve">Paragraph 12 </w:t>
      </w:r>
      <w:r>
        <w:rPr>
          <w:color w:val="0000FF"/>
        </w:rPr>
        <w:drawing>
          <wp:inline distT="0" distB="0" distL="0" distR="0">
            <wp:extent cx="114300" cy="133350"/>
            <wp:effectExtent l="0" t="0" r="0" b="0"/>
            <wp:docPr id="26" name="Image25" descr="" titl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title="">
                      <a:hlinkClick r:id="rId54"/>
                    </pic:cNvPr>
                    <pic:cNvPicPr>
                      <a:picLocks noChangeAspect="1" noChangeArrowheads="1"/>
                    </pic:cNvPicPr>
                  </pic:nvPicPr>
                  <pic:blipFill>
                    <a:blip r:embed="rId5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FIN 43 states:</w:t>
      </w:r>
    </w:p>
    <w:p>
      <w:pPr>
        <w:pStyle w:val="Normal"/>
        <w:ind w:start="720" w:end="0"/>
        <w:rPr>
          <w:rFonts w:ascii="Book Antiqua" w:hAnsi="Book Antiqua" w:cs="Book Antiqua"/>
          <w:sz w:val="20"/>
          <w:szCs w:val="20"/>
        </w:rPr>
      </w:pPr>
      <w:r>
        <w:rPr>
          <w:rFonts w:cs="Book Antiqua" w:ascii="Book Antiqua" w:hAnsi="Book Antiqua"/>
          <w:sz w:val="20"/>
          <w:szCs w:val="20"/>
        </w:rPr>
        <w:t>The Board rejected the view that the scope of Statement 66 should be narrow because the Board does not believe that Statement 66 justifies following different profit recognition criteria for the sale of (a) only land or land with property improvements if the primary value of the property improvements is from the underlying land and (b) land with property improvements if the primary value of the property improvements is not from the underlying land. In addition, although it may be possible (as is done for tax purposes) to separate the value of the underlying land from the value of the property improvements or integral equipment, the Board does not believe that it is appropriate to account for those assets separately. The Board concluded that the focus should be on the physical attributes of the combined asset (that is, the real estate with property improvements or integral equipment) to determine whether the nature of the asset is more like real estate (for example, long-lived, not removable, and secured to the land) than equipment (for example, airplanes, computers, and cars). The Board acknowledges that determining whether something is in substance real estate is a matter of judgment that depends on the relevant facts and circumstances.</w:t>
      </w:r>
    </w:p>
    <w:p>
      <w:pPr>
        <w:pStyle w:val="Normal"/>
        <w:rPr/>
      </w:pPr>
      <w:r>
        <w:rPr>
          <w:rFonts w:cs="Book Antiqua" w:ascii="Book Antiqua" w:hAnsi="Book Antiqua"/>
        </w:rPr>
        <w:t>Paragraph 25 of FIN 43 uses as an example the sale of a ski resort which includes a lodge and ski lifts. It emphasizes the Board's view that the sale should not be bifurcated into a real estate component (the underlying land) and the non-real estate component (the lodge and the ski lift).</w:t>
      </w:r>
      <w:r>
        <w:rPr/>
        <w:br/>
        <w:br/>
      </w:r>
      <w:r>
        <w:rPr>
          <w:rFonts w:cs="Book Antiqua" w:ascii="Book Antiqua" w:hAnsi="Book Antiqua"/>
        </w:rPr>
        <w:t xml:space="preserve">Paragraph 3 </w:t>
      </w:r>
      <w:r>
        <w:rPr>
          <w:color w:val="0000FF"/>
        </w:rPr>
        <w:drawing>
          <wp:inline distT="0" distB="0" distL="0" distR="0">
            <wp:extent cx="114300" cy="133350"/>
            <wp:effectExtent l="0" t="0" r="0" b="0"/>
            <wp:docPr id="27" name="Image26" descr="" titl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title="">
                      <a:hlinkClick r:id="rId56"/>
                    </pic:cNvPr>
                    <pic:cNvPicPr>
                      <a:picLocks noChangeAspect="1" noChangeArrowheads="1"/>
                    </pic:cNvPicPr>
                  </pic:nvPicPr>
                  <pic:blipFill>
                    <a:blip r:embed="rId5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FIN 43 states that the provisions of Statement 66 do not apply to transactions that involve:</w:t>
      </w:r>
    </w:p>
    <w:p>
      <w:pPr>
        <w:pStyle w:val="Normal"/>
        <w:ind w:start="720" w:end="0"/>
        <w:rPr>
          <w:rFonts w:ascii="Book Antiqua" w:hAnsi="Book Antiqua" w:cs="Book Antiqua"/>
          <w:sz w:val="20"/>
          <w:szCs w:val="20"/>
        </w:rPr>
      </w:pPr>
      <w:r>
        <w:rPr>
          <w:rFonts w:cs="Book Antiqua" w:ascii="Book Antiqua" w:hAnsi="Book Antiqua"/>
          <w:sz w:val="20"/>
          <w:szCs w:val="20"/>
        </w:rPr>
        <w:t>the sale of only property improvements or integral equipment without a concurrent (or contemplated sale) of the underlying land.</w:t>
      </w:r>
    </w:p>
    <w:p>
      <w:pPr>
        <w:pStyle w:val="Normal"/>
        <w:rPr>
          <w:rFonts w:ascii="Book Antiqua" w:hAnsi="Book Antiqua" w:cs="Book Antiqua"/>
        </w:rPr>
      </w:pPr>
      <w:r>
        <w:rPr>
          <w:rFonts w:cs="Book Antiqua" w:ascii="Book Antiqua" w:hAnsi="Book Antiqua"/>
        </w:rPr>
        <w:t>It might be argued that in the case of an IRU there is no concurrent or contemplated sale of the land through which the cable passes or on which it rests. However, Footnote 1 to paragraph 3 then clarifies that Statement 66 would apply to:</w:t>
      </w:r>
    </w:p>
    <w:p>
      <w:pPr>
        <w:pStyle w:val="Normal"/>
        <w:ind w:start="720" w:end="0"/>
        <w:rPr>
          <w:rFonts w:ascii="Book Antiqua" w:hAnsi="Book Antiqua" w:cs="Book Antiqua"/>
          <w:sz w:val="20"/>
          <w:szCs w:val="20"/>
        </w:rPr>
      </w:pPr>
      <w:r>
        <w:rPr>
          <w:rFonts w:cs="Book Antiqua" w:ascii="Book Antiqua" w:hAnsi="Book Antiqua"/>
          <w:sz w:val="20"/>
          <w:szCs w:val="20"/>
        </w:rPr>
        <w:t>…</w:t>
      </w:r>
      <w:r>
        <w:rPr>
          <w:rFonts w:eastAsia="Book Antiqua" w:cs="Book Antiqua" w:ascii="Book Antiqua" w:hAnsi="Book Antiqua"/>
          <w:sz w:val="20"/>
          <w:szCs w:val="20"/>
        </w:rPr>
        <w:t xml:space="preserve"> </w:t>
      </w:r>
      <w:r>
        <w:rPr>
          <w:rFonts w:cs="Book Antiqua" w:ascii="Book Antiqua" w:hAnsi="Book Antiqua"/>
          <w:sz w:val="20"/>
          <w:szCs w:val="20"/>
        </w:rPr>
        <w:t>sales of property improvements or integral equipment with the concurrent lease (whether explicit or implicit in the transaction) of the underlying land to the buyer. Those transactions should be accounted for in accordance with paragraphs 38 and 39 of Statement 66. In addition, sales of property improvements or integral equipment subject to an existing lease of the underlying land are also subject to the provisions of Statement 66.</w:t>
      </w:r>
    </w:p>
    <w:p>
      <w:pPr>
        <w:pStyle w:val="Normal"/>
        <w:rPr>
          <w:highlight w:val="yellow"/>
        </w:rPr>
      </w:pPr>
      <w:r>
        <w:rPr>
          <w:rFonts w:cs="Book Antiqua" w:ascii="Book Antiqua" w:hAnsi="Book Antiqua"/>
          <w:highlight w:val="yellow"/>
        </w:rPr>
        <w:t>The Firm believes that generally the greater part of the network assets provided under an IRU will meet the FIN 43 test of being "attached to the land" because:</w:t>
      </w:r>
    </w:p>
    <w:p>
      <w:pPr>
        <w:pStyle w:val="Normal"/>
        <w:ind w:start="720" w:end="0"/>
        <w:rPr/>
      </w:pPr>
      <w:r>
        <w:rPr>
          <w:highlight w:val="yellow"/>
        </w:rPr>
        <w:t xml:space="preserve">1. </w:t>
      </w:r>
      <w:r>
        <w:rPr>
          <w:rFonts w:cs="Book Antiqua" w:ascii="Book Antiqua" w:hAnsi="Book Antiqua"/>
          <w:highlight w:val="yellow"/>
        </w:rPr>
        <w:t>In an IRU where the provider owns or leases the land (either through an explicit lease or a lease in the form of a right of way agreement or easement) through which the cable passes or on which it lies, it is clear that the IRU does involve an implicit lease of the underlying land by the provider to the purchaser. In the case of an undersea cable, there may be more doubt as to whether there is an implicit lease of the underlying seabed. Because the seabed is not owned or leased by the capacity provider, the provider may have no greater legal right to use the seabed than any other party. However, undersea cables still come ashore, and at that point the provider is providing an implicit lease of the land; and</w:t>
      </w:r>
      <w:r>
        <w:rPr>
          <w:highlight w:val="yellow"/>
        </w:rPr>
        <w:t xml:space="preserve"> </w:t>
      </w:r>
    </w:p>
    <w:p>
      <w:pPr>
        <w:pStyle w:val="NormalWeb"/>
        <w:spacing w:before="0" w:after="0"/>
        <w:ind w:start="720" w:end="0"/>
        <w:rPr>
          <w:highlight w:val="yellow"/>
        </w:rPr>
      </w:pPr>
      <w:r>
        <w:rPr>
          <w:highlight w:val="yellow"/>
        </w:rPr>
        <w:t xml:space="preserve">2. </w:t>
      </w:r>
      <w:r>
        <w:rPr>
          <w:rFonts w:cs="Book Antiqua" w:ascii="Book Antiqua" w:hAnsi="Book Antiqua"/>
          <w:highlight w:val="yellow"/>
        </w:rPr>
        <w:t>The conduit through which the cable passes is attached to land at, at least, two points along its length. Even though an undersea cable may lie in a trench, and in that sense is not attached to the land, it is attached to the land, at least, at two landing stations. As noted above, paragraph 25 of FIN 43 specifically discusses the example of a ski lift which for the greater part of its length represents a cable that passes through air. But because it is attached to the land at two terminals, it would constitute integral equipment and fall within the scope of Statement 66.</w:t>
      </w:r>
    </w:p>
    <w:p>
      <w:pPr>
        <w:pStyle w:val="Normal"/>
        <w:rPr/>
      </w:pPr>
      <w:r>
        <w:rPr>
          <w:rFonts w:cs="Book Antiqua" w:ascii="Book Antiqua" w:hAnsi="Book Antiqua"/>
          <w:highlight w:val="yellow"/>
        </w:rPr>
        <w:t xml:space="preserve">The definition of integral equipment also considers whether the equipment attached to the land can be removed and used separately without incurring significant cost. This definition contains two distinct concepts: (1) the ability to remove the equipment without incurring significant cost and (2) the ability to use the equipment separately without a significant diminution in the equipment's utility or value. For example, certain special purpose equipment may be removed without significant cost, but once removed from the property for which it was specifically designed, that equipment may face a significant loss of value or utility. The loss of value or utility is a cost that should be considered in determining whether equipment attached to real estate is "integral equipment." EITF Issue 00-13, "Determining Whether Equipment Is 'Integral Equipment' Subject to FASB Statements No. 66 and No. 98 </w:t>
      </w:r>
      <w:r>
        <w:rPr>
          <w:color w:val="0000FF"/>
          <w:highlight w:val="yellow"/>
        </w:rPr>
        <w:drawing>
          <wp:inline distT="0" distB="0" distL="0" distR="0">
            <wp:extent cx="114300" cy="133350"/>
            <wp:effectExtent l="0" t="0" r="0" b="0"/>
            <wp:docPr id="28" name="Image27" descr="" titl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title="">
                      <a:hlinkClick r:id="rId58"/>
                    </pic:cNvPr>
                    <pic:cNvPicPr>
                      <a:picLocks noChangeAspect="1" noChangeArrowheads="1"/>
                    </pic:cNvPicPr>
                  </pic:nvPicPr>
                  <pic:blipFill>
                    <a:blip r:embed="rId5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specifies 10% of the equipment's fair value as of the date of the contract as the threshold for determining whether the cost is significant. That is, if the current cost to remove the equipment plus any diminution in value when the fair value of the installed equipment — determined as of the date of the contract — compared to the fair value of the equipment as removed — also determined as of the date of the contract — is greater than 10% of the property's fair value as of the date of the contract, the leased asset is a property improvement or integral equipment. At a minimum, the loss of value and/or utility should not be less than the estimated costs of shipment and reinstallation of the equipment at another site. Issue 00-13 provides the following example of assessing whether or not equipment is integral equipment:</w:t>
      </w:r>
    </w:p>
    <w:p>
      <w:pPr>
        <w:pStyle w:val="Normal"/>
        <w:ind w:start="720" w:end="0"/>
        <w:rPr>
          <w:rFonts w:ascii="Book Antiqua" w:hAnsi="Book Antiqua" w:cs="Book Antiqua"/>
          <w:sz w:val="20"/>
          <w:szCs w:val="20"/>
        </w:rPr>
      </w:pPr>
      <w:r>
        <w:rPr>
          <w:rFonts w:cs="Book Antiqua" w:ascii="Book Antiqua" w:hAnsi="Book Antiqua"/>
          <w:sz w:val="20"/>
          <w:szCs w:val="20"/>
        </w:rPr>
        <w:t>Company A leases equipment to Company B for use in a manufacturing facility. The fair value of the production equipment (installed) at lease inception is $1,075,000. The estimated cost to remove the equipment after installation (estimate is as of the beginning of the lease term) is $80,000, which includes $30,000 to repair damage to the existing location as a result of the removal. The estimated cost to ship and reinstall the equipment at a new site (estimated as of the beginning of the lease term) is $85,000. For this example, assume that the equipment would have the same fair value (installed) to the seller and a potential buyer. Therefore, there is no diminution in fair value of the equipment beyond the discount a purchaser would presumably require to cover the cost to ship and reinstall the equipment.</w:t>
      </w:r>
    </w:p>
    <w:p>
      <w:pPr>
        <w:pStyle w:val="Normal"/>
        <w:ind w:start="720" w:end="0"/>
        <w:rPr>
          <w:rFonts w:ascii="Book Antiqua" w:hAnsi="Book Antiqua" w:cs="Book Antiqua"/>
          <w:sz w:val="20"/>
          <w:szCs w:val="20"/>
        </w:rPr>
      </w:pPr>
      <w:r>
        <w:rPr>
          <w:rFonts w:cs="Book Antiqua" w:ascii="Book Antiqua" w:hAnsi="Book Antiqua"/>
          <w:sz w:val="20"/>
          <w:szCs w:val="20"/>
        </w:rPr>
        <w:t>In accordance with this consensus, Company A would assess whether or not the production equipment is integral equipment as follows ($80,000 + $85,000) ÷ $1,075,000 = 15.3 percent. Because the cost of removal combined with the diminution in value exceeds 10 percent of the fair value (installed) of the production equipment, the cost to remove the equipment and use it separately is deemed to be significant. Therefore, the production equipment is integral equipment.</w:t>
      </w:r>
    </w:p>
    <w:p>
      <w:pPr>
        <w:pStyle w:val="Normal"/>
        <w:rPr/>
      </w:pPr>
      <w:r>
        <w:rPr>
          <w:rFonts w:cs="Book Antiqua" w:ascii="Book Antiqua" w:hAnsi="Book Antiqua"/>
        </w:rPr>
        <w:t>Generally, the greater part of the length of an undersea cable consists of fiber lying within some protective sheath. (There is no conduit as such although within a few miles of the shoreline the cable is generally laid within a conduit and stays within the conduit from the ocean to the landing station - which could be one or two miles from the shore.) We believe the cost to remove an undersea cable from the seabed would be significant.</w:t>
      </w:r>
      <w:r>
        <w:rPr/>
        <w:br/>
        <w:br/>
      </w:r>
      <w:r>
        <w:rPr>
          <w:rFonts w:cs="Book Antiqua" w:ascii="Book Antiqua" w:hAnsi="Book Antiqua"/>
        </w:rPr>
        <w:t>In the case of a terrestrial cable, the fiber lies within a conduit and both the fiber and the conduit may each represent significant components of the overall cost. It is therefore appropriate to consider separately whether each meets the definition of integral equipment.</w:t>
      </w:r>
      <w:r>
        <w:rPr/>
        <w:br/>
        <w:br/>
      </w:r>
      <w:r>
        <w:rPr>
          <w:rFonts w:cs="Book Antiqua" w:ascii="Book Antiqua" w:hAnsi="Book Antiqua"/>
        </w:rPr>
        <w:t>For the conduit through which the fiber passes and which is buried directly in the ground, there seems to be little doubt that it could not be removed without incurring significant cost (as a percentage of the value of the conduit) and is therefore integral equipment.</w:t>
      </w:r>
      <w:r>
        <w:rPr/>
        <w:br/>
        <w:br/>
      </w:r>
      <w:r>
        <w:rPr>
          <w:rFonts w:cs="Book Antiqua" w:ascii="Book Antiqua" w:hAnsi="Book Antiqua"/>
        </w:rPr>
        <w:t>For the fiber, it might be possible to remove it from the conduit at relatively little cost. But it is also necessary, as noted above, to consider the loss of value as a consequence of removal and alternative use.</w:t>
      </w:r>
      <w:r>
        <w:rPr/>
        <w:br/>
        <w:br/>
      </w:r>
      <w:r>
        <w:rPr>
          <w:rFonts w:cs="Book Antiqua" w:ascii="Book Antiqua" w:hAnsi="Book Antiqua"/>
        </w:rPr>
        <w:t xml:space="preserve">For a number of years, for the purpose of determining the applicability of FASB Statement of Financial Accounting Standards No. 98, </w:t>
      </w:r>
      <w:r>
        <w:rPr>
          <w:rFonts w:cs="Book Antiqua" w:ascii="Book Antiqua" w:hAnsi="Book Antiqua"/>
          <w:i/>
          <w:iCs/>
        </w:rPr>
        <w:t xml:space="preserve">Accounting for Leases: Sale-Leaseback Transactions Involving Real Estate; Sales-Type Leases of Real Estate; Definition of Lease Term; Initial Direct Costs of Direct Financing Leases, </w:t>
      </w:r>
      <w:r>
        <w:rPr>
          <w:rFonts w:cs="Book Antiqua" w:ascii="Book Antiqua" w:hAnsi="Book Antiqua"/>
        </w:rPr>
        <w:t xml:space="preserve">(Statement 98 </w:t>
      </w:r>
      <w:r>
        <w:rPr>
          <w:color w:val="0000FF"/>
        </w:rPr>
        <w:drawing>
          <wp:inline distT="0" distB="0" distL="0" distR="0">
            <wp:extent cx="114300" cy="133350"/>
            <wp:effectExtent l="0" t="0" r="0" b="0"/>
            <wp:docPr id="29" name="Image28" descr="" title="">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title="">
                      <a:hlinkClick r:id="rId60"/>
                    </pic:cNvPr>
                    <pic:cNvPicPr>
                      <a:picLocks noChangeAspect="1" noChangeArrowheads="1"/>
                    </pic:cNvPicPr>
                  </pic:nvPicPr>
                  <pic:blipFill>
                    <a:blip r:embed="rId5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which contains the same definition of integral equipment as FIN 43, we have applied the "significant cost" concept by comparing to 10% of the fair value of the leased equipment at inception:</w:t>
      </w:r>
    </w:p>
    <w:p>
      <w:pPr>
        <w:pStyle w:val="Normal"/>
        <w:ind w:start="720" w:end="0"/>
        <w:rPr/>
      </w:pPr>
      <w:r>
        <w:rPr/>
        <w:t xml:space="preserve">1. </w:t>
      </w:r>
      <w:r>
        <w:rPr>
          <w:rFonts w:cs="Book Antiqua" w:ascii="Book Antiqua" w:hAnsi="Book Antiqua"/>
        </w:rPr>
        <w:t>The current cost to remove the equipment; plus</w:t>
      </w:r>
      <w:r>
        <w:rPr/>
        <w:t xml:space="preserve"> </w:t>
      </w:r>
    </w:p>
    <w:p>
      <w:pPr>
        <w:pStyle w:val="NormalWeb"/>
        <w:spacing w:before="0" w:after="0"/>
        <w:ind w:start="720" w:end="0"/>
        <w:rPr/>
      </w:pPr>
      <w:r>
        <w:rPr/>
        <w:t xml:space="preserve">2. </w:t>
      </w:r>
      <w:r>
        <w:rPr>
          <w:rFonts w:cs="Book Antiqua" w:ascii="Book Antiqua" w:hAnsi="Book Antiqua"/>
        </w:rPr>
        <w:t>Any loss when the expected fair value of the equipment at the end of the lease term before it is removed is compared to the expected fair value of the equipment after it is removed.</w:t>
      </w:r>
    </w:p>
    <w:p>
      <w:pPr>
        <w:pStyle w:val="Normal"/>
        <w:rPr/>
      </w:pPr>
      <w:r>
        <w:rPr>
          <w:rFonts w:cs="Book Antiqua" w:ascii="Book Antiqua" w:hAnsi="Book Antiqua"/>
        </w:rPr>
        <w:t>In certain circumstances, we have used the current cost to install the leased equipment in its alternative functioning location as a surrogate for the low end of the range for the reduction in value caused by removing the equipment.</w:t>
      </w:r>
      <w:r>
        <w:rPr/>
        <w:br/>
        <w:br/>
      </w:r>
      <w:r>
        <w:rPr>
          <w:rFonts w:cs="Book Antiqua" w:ascii="Book Antiqua" w:hAnsi="Book Antiqua"/>
        </w:rPr>
        <w:t xml:space="preserve">As a consequence of applying this test, fiber may or may not meet the definition of integral equipment. </w:t>
      </w:r>
      <w:r>
        <w:rPr>
          <w:rFonts w:cs="Book Antiqua" w:ascii="Book Antiqua" w:hAnsi="Book Antiqua"/>
          <w:highlight w:val="yellow"/>
        </w:rPr>
        <w:t>We believe that the presumption should be that fiber will meet the test of integral equipment unless demonstrated otherwise in a specific situation.</w:t>
      </w:r>
      <w:r>
        <w:rPr>
          <w:rFonts w:cs="Book Antiqua" w:ascii="Book Antiqua" w:hAnsi="Book Antiqua"/>
        </w:rPr>
        <w:t xml:space="preserve"> (Note that Issue 1 </w:t>
      </w:r>
      <w:r>
        <w:rPr>
          <w:color w:val="0000FF"/>
        </w:rPr>
        <w:drawing>
          <wp:inline distT="0" distB="0" distL="0" distR="0">
            <wp:extent cx="114300" cy="133350"/>
            <wp:effectExtent l="0" t="0" r="0" b="0"/>
            <wp:docPr id="30" name="Image29" descr="" title="">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title="">
                      <a:hlinkClick r:id="rId62"/>
                    </pic:cNvPr>
                    <pic:cNvPicPr>
                      <a:picLocks noChangeAspect="1" noChangeArrowheads="1"/>
                    </pic:cNvPicPr>
                  </pic:nvPicPr>
                  <pic:blipFill>
                    <a:blip r:embed="rId6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EITF Issue No. 00-11, "Meeting the Ownership Transfer Requirements of FASB Statement No. 13,</w:t>
      </w:r>
      <w:r>
        <w:rPr>
          <w:rFonts w:cs="Book Antiqua" w:ascii="Book Antiqua" w:hAnsi="Book Antiqua"/>
          <w:i/>
          <w:iCs/>
        </w:rPr>
        <w:t xml:space="preserve"> Accounting for Leases, </w:t>
      </w:r>
      <w:r>
        <w:rPr>
          <w:rFonts w:cs="Book Antiqua" w:ascii="Book Antiqua" w:hAnsi="Book Antiqua"/>
        </w:rPr>
        <w:t xml:space="preserve">for Leases of Real Estate," clarifies that integral equipment or property improvements subject to a lease should be evaluated as real estate under Statement 13 </w:t>
      </w:r>
      <w:r>
        <w:rPr>
          <w:color w:val="0000FF"/>
        </w:rPr>
        <w:drawing>
          <wp:inline distT="0" distB="0" distL="0" distR="0">
            <wp:extent cx="114300" cy="133350"/>
            <wp:effectExtent l="0" t="0" r="0" b="0"/>
            <wp:docPr id="31" name="Image30" descr="" title="">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title="">
                      <a:hlinkClick r:id="rId64"/>
                    </pic:cNvPr>
                    <pic:cNvPicPr>
                      <a:picLocks noChangeAspect="1" noChangeArrowheads="1"/>
                    </pic:cNvPicPr>
                  </pic:nvPicPr>
                  <pic:blipFill>
                    <a:blip r:embed="rId6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as amended.)</w:t>
      </w:r>
      <w:r>
        <w:rPr/>
        <w:br/>
        <w:br/>
      </w:r>
      <w:r>
        <w:rPr>
          <w:rFonts w:cs="Book Antiqua" w:ascii="Book Antiqua" w:hAnsi="Book Antiqua"/>
          <w:highlight w:val="yellow"/>
        </w:rPr>
        <w:t>Some parts of the total equipment made available though an IRU may not meet the definition of "integral equipment." Certain electronic equipment in a landing station for an undersea cable or electronic equipment above ground for a terrestrial cable that can be readily removed and used elsewhere at little additional cost are examples. Such equipment would continue to fall outside the scope of Statement 66</w:t>
      </w:r>
      <w:r>
        <w:rPr>
          <w:rFonts w:cs="Book Antiqua" w:ascii="Book Antiqua" w:hAnsi="Book Antiqua"/>
        </w:rPr>
        <w:t xml:space="preserve"> </w:t>
      </w:r>
      <w:r>
        <w:rPr>
          <w:color w:val="0000FF"/>
        </w:rPr>
        <w:drawing>
          <wp:inline distT="0" distB="0" distL="0" distR="0">
            <wp:extent cx="114300" cy="133350"/>
            <wp:effectExtent l="0" t="0" r="0" b="0"/>
            <wp:docPr id="32" name="Image31" descr="" titl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title="">
                      <a:hlinkClick r:id="rId66"/>
                    </pic:cNvPr>
                    <pic:cNvPicPr>
                      <a:picLocks noChangeAspect="1" noChangeArrowheads="1"/>
                    </pic:cNvPicPr>
                  </pic:nvPicPr>
                  <pic:blipFill>
                    <a:blip r:embed="rId6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Paragraph 27 </w:t>
      </w:r>
      <w:r>
        <w:rPr>
          <w:color w:val="0000FF"/>
        </w:rPr>
        <w:drawing>
          <wp:inline distT="0" distB="0" distL="0" distR="0">
            <wp:extent cx="114300" cy="133350"/>
            <wp:effectExtent l="0" t="0" r="0" b="0"/>
            <wp:docPr id="33" name="Image32" descr="" title="">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title="">
                      <a:hlinkClick r:id="rId68"/>
                    </pic:cNvPr>
                    <pic:cNvPicPr>
                      <a:picLocks noChangeAspect="1" noChangeArrowheads="1"/>
                    </pic:cNvPicPr>
                  </pic:nvPicPr>
                  <pic:blipFill>
                    <a:blip r:embed="rId6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states that when leases involve equipment as well as real estate, the equipment should be considered separately from the real estate (and integral equipment) for purposes of lease classification.</w:t>
      </w:r>
      <w:r>
        <w:rPr/>
        <w:br/>
        <w:br/>
        <w:br/>
      </w:r>
      <w:r>
        <w:rPr>
          <w:rFonts w:cs="Book Antiqua" w:ascii="Book Antiqua" w:hAnsi="Book Antiqua"/>
          <w:b/>
          <w:bCs/>
          <w:highlight w:val="yellow"/>
        </w:rPr>
        <w:t>2.D.3. Sales-Type Leases</w:t>
      </w:r>
      <w:r>
        <w:rPr/>
        <w:br/>
        <w:br/>
      </w:r>
      <w:r>
        <w:rPr>
          <w:rFonts w:cs="Book Antiqua" w:ascii="Book Antiqua" w:hAnsi="Book Antiqua"/>
          <w:b/>
          <w:bCs/>
          <w:highlight w:val="yellow"/>
        </w:rPr>
        <w:t>2.D.3.1. Equipment Other than Real Estate and Integral Equipment</w:t>
      </w:r>
      <w:r>
        <w:rPr/>
        <w:br/>
        <w:br/>
      </w:r>
      <w:r>
        <w:rPr>
          <w:rFonts w:cs="Book Antiqua" w:ascii="Book Antiqua" w:hAnsi="Book Antiqua"/>
        </w:rPr>
        <w:t>In order to qualify for sales-type lease treatment by the lessor under the criteria of Statement 13, as amended, a lease of equipment other than real estate and integral equipment has to meet:</w:t>
      </w:r>
    </w:p>
    <w:p>
      <w:pPr>
        <w:pStyle w:val="Normal"/>
        <w:ind w:start="720" w:end="0"/>
        <w:rPr/>
      </w:pPr>
      <w:r>
        <w:rPr/>
        <w:t xml:space="preserve">1. </w:t>
      </w:r>
      <w:r>
        <w:rPr>
          <w:rFonts w:cs="Book Antiqua" w:ascii="Book Antiqua" w:hAnsi="Book Antiqua"/>
        </w:rPr>
        <w:t xml:space="preserve">At least one of the criteria stated in paragraph 7 </w:t>
      </w:r>
      <w:r>
        <w:rPr>
          <w:color w:val="0000FF"/>
        </w:rPr>
        <w:drawing>
          <wp:inline distT="0" distB="0" distL="0" distR="0">
            <wp:extent cx="114300" cy="133350"/>
            <wp:effectExtent l="0" t="0" r="0" b="0"/>
            <wp:docPr id="34" name="Image33" descr="" titl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title="">
                      <a:hlinkClick r:id="rId70"/>
                    </pic:cNvPr>
                    <pic:cNvPicPr>
                      <a:picLocks noChangeAspect="1" noChangeArrowheads="1"/>
                    </pic:cNvPicPr>
                  </pic:nvPicPr>
                  <pic:blipFill>
                    <a:blip r:embed="rId6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and </w:t>
      </w:r>
      <w:r>
        <w:rPr/>
        <w:br/>
        <w:t xml:space="preserve">2. </w:t>
      </w:r>
      <w:r>
        <w:rPr>
          <w:rFonts w:cs="Book Antiqua" w:ascii="Book Antiqua" w:hAnsi="Book Antiqua"/>
        </w:rPr>
        <w:t>Both of the criteria of paragraph 8, as amended.</w:t>
      </w:r>
    </w:p>
    <w:p>
      <w:pPr>
        <w:pStyle w:val="Normal"/>
        <w:rPr>
          <w:highlight w:val="yellow"/>
        </w:rPr>
      </w:pPr>
      <w:r>
        <w:rPr>
          <w:rFonts w:cs="Book Antiqua" w:ascii="Book Antiqua" w:hAnsi="Book Antiqua"/>
          <w:highlight w:val="yellow"/>
        </w:rPr>
        <w:t>The paragraph 7 criteria are as follows:</w:t>
      </w:r>
    </w:p>
    <w:p>
      <w:pPr>
        <w:pStyle w:val="Normal"/>
        <w:ind w:start="720" w:end="0"/>
        <w:rPr>
          <w:highlight w:val="yellow"/>
        </w:rPr>
      </w:pPr>
      <w:r>
        <w:rPr>
          <w:rFonts w:cs="Book Antiqua" w:ascii="Book Antiqua" w:hAnsi="Book Antiqua"/>
          <w:sz w:val="20"/>
          <w:szCs w:val="20"/>
          <w:highlight w:val="yellow"/>
        </w:rPr>
        <w:t>a. The lease transfers ownership of the property to the lessee by the end of the lease term (as defined in paragraph 5(f)).</w:t>
      </w:r>
    </w:p>
    <w:p>
      <w:pPr>
        <w:pStyle w:val="Normal"/>
        <w:ind w:start="720" w:end="0"/>
        <w:rPr>
          <w:highlight w:val="yellow"/>
        </w:rPr>
      </w:pPr>
      <w:r>
        <w:rPr>
          <w:rFonts w:cs="Book Antiqua" w:ascii="Book Antiqua" w:hAnsi="Book Antiqua"/>
          <w:sz w:val="20"/>
          <w:szCs w:val="20"/>
          <w:highlight w:val="yellow"/>
        </w:rPr>
        <w:t>b. The lease contains a bargain purchase option (as defined in paragraph 5(d)).</w:t>
      </w:r>
    </w:p>
    <w:p>
      <w:pPr>
        <w:pStyle w:val="Normal"/>
        <w:ind w:start="720" w:end="0"/>
        <w:rPr>
          <w:highlight w:val="yellow"/>
        </w:rPr>
      </w:pPr>
      <w:r>
        <w:rPr>
          <w:rFonts w:cs="Book Antiqua" w:ascii="Book Antiqua" w:hAnsi="Book Antiqua"/>
          <w:sz w:val="20"/>
          <w:szCs w:val="20"/>
          <w:highlight w:val="yellow"/>
        </w:rPr>
        <w:t>c. The lease term (as defined in paragraph 5(f)) is equal to 75 percent or more of the estimated economic life of the leased property (as defined in paragraph 5(g)). However, if the beginning of the lease term falls within the last 25 percent of the total estimated economic life of the leased property, including earlier years of use, this criterion shall not be used for purposes of classifying the lease.</w:t>
      </w:r>
    </w:p>
    <w:p>
      <w:pPr>
        <w:pStyle w:val="Normal"/>
        <w:ind w:start="720" w:end="0"/>
        <w:rPr>
          <w:highlight w:val="yellow"/>
        </w:rPr>
      </w:pPr>
      <w:r>
        <w:rPr>
          <w:rFonts w:cs="Book Antiqua" w:ascii="Book Antiqua" w:hAnsi="Book Antiqua"/>
          <w:sz w:val="20"/>
          <w:szCs w:val="20"/>
          <w:highlight w:val="yellow"/>
        </w:rPr>
        <w:t>d. The present value at the beginning of the lease term of the minimum lease payments (as defined in paragraph 5(j)), excluding that portion of the payments representing executory costs such as insurance, maintenance, and taxes to be paid by the lessor, including any profit thereon, equals or exceeds 90 percent of the excess of the fair value of the leased property (as defined in paragraph 5(c)) to the lessor at the inception of the lease over any related investment tax credit retained by the lessor and expected to be realized by him. However, if the beginning of the lease term falls within the last 25 percent of the total estimated economic life of the leased property, including earlier years of use, this criterion shall not be used for purposes of classifying the lease. A lessor shall compute the present value of the minimum lease payments using the interest rate implicit in the lease (as defined in paragraph 5(k)) …</w:t>
      </w:r>
    </w:p>
    <w:p>
      <w:pPr>
        <w:pStyle w:val="Normal"/>
        <w:rPr/>
      </w:pPr>
      <w:r>
        <w:rPr>
          <w:rFonts w:cs="Book Antiqua" w:ascii="Book Antiqua" w:hAnsi="Book Antiqua"/>
          <w:highlight w:val="yellow"/>
        </w:rPr>
        <w:t>Paragraph 7(a) requires ownership to pass to the lessee by the end of the lease term. The condition is concerned with legal ownership rather than economic ownership. It is not necessary that the condition in paragraph 7(a) be met in respect of a sales-type lease of assets other than real estate and integral equipment, provided the lease meets one of the other three conditions specified in paragraph 7.</w:t>
      </w:r>
      <w:r>
        <w:rPr/>
        <w:br/>
        <w:br/>
      </w:r>
      <w:r>
        <w:rPr>
          <w:rFonts w:cs="Book Antiqua" w:ascii="Book Antiqua" w:hAnsi="Book Antiqua"/>
        </w:rPr>
        <w:t>Statement 13 requires that aggregate minimum lease payments must be reduced by the estimated executory costs, including any profit thereon. In order to apply paragraph 7(d), it is necessary to exclude that portion of payments representing reimbursement for executory costs, such as maintenance, that the lessor provides.</w:t>
      </w:r>
      <w:r>
        <w:rPr/>
        <w:br/>
        <w:br/>
      </w:r>
      <w:r>
        <w:rPr>
          <w:rFonts w:cs="Book Antiqua" w:ascii="Book Antiqua" w:hAnsi="Book Antiqua"/>
        </w:rPr>
        <w:t xml:space="preserve">The lease must also meet of the following conditions in paragraph 8 </w:t>
      </w:r>
      <w:r>
        <w:rPr>
          <w:color w:val="0000FF"/>
        </w:rPr>
        <w:drawing>
          <wp:inline distT="0" distB="0" distL="0" distR="0">
            <wp:extent cx="114300" cy="133350"/>
            <wp:effectExtent l="0" t="0" r="0" b="0"/>
            <wp:docPr id="35" name="Image34" descr="" titl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title="">
                      <a:hlinkClick r:id="rId72"/>
                    </pic:cNvPr>
                    <pic:cNvPicPr>
                      <a:picLocks noChangeAspect="1" noChangeArrowheads="1"/>
                    </pic:cNvPicPr>
                  </pic:nvPicPr>
                  <pic:blipFill>
                    <a:blip r:embed="rId7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to qualify as a sales-type lease:</w:t>
      </w:r>
    </w:p>
    <w:p>
      <w:pPr>
        <w:pStyle w:val="Normal"/>
        <w:ind w:start="720" w:end="0"/>
        <w:rPr>
          <w:highlight w:val="yellow"/>
        </w:rPr>
      </w:pPr>
      <w:r>
        <w:rPr>
          <w:rFonts w:cs="Book Antiqua" w:ascii="Book Antiqua" w:hAnsi="Book Antiqua"/>
          <w:sz w:val="20"/>
          <w:szCs w:val="20"/>
          <w:highlight w:val="yellow"/>
        </w:rPr>
        <w:t>From the standpoint of the lessor, a lease involving real estate shall be classified as a sales-type lease only if it meets the criterion in paragraph 7(a) as appropriate under paragraph 6(b)(i) . Otherwise, if the lease at inception meets any one of the four criteria in paragraph 7 and in addition meets both of the following criteria, it shall be classified as a sales-type lease, a direct financing lease, a leveraged lease, or an operating lease as appropriate under paragraph 6(b). If the lease does not meet any of the criteria of paragraph 7 or both of the following criteria, the lease shall be classified as an operating lease.</w:t>
      </w:r>
    </w:p>
    <w:p>
      <w:pPr>
        <w:pStyle w:val="Normal"/>
        <w:ind w:start="720" w:end="0"/>
        <w:rPr>
          <w:highlight w:val="yellow"/>
        </w:rPr>
      </w:pPr>
      <w:r>
        <w:rPr>
          <w:rFonts w:cs="Book Antiqua" w:ascii="Book Antiqua" w:hAnsi="Book Antiqua"/>
          <w:sz w:val="20"/>
          <w:szCs w:val="20"/>
          <w:highlight w:val="yellow"/>
        </w:rPr>
        <w:t>a. Collectibility of the minimum lease payments is reasonably predictable. A lessor shall not be precluded from classifying a lease as a sales-type lease, a direct financing lease, or a leveraged lease simply because the receivable is subject to an estimate of uncollectibility based on experience with groups of similar receivables.</w:t>
      </w:r>
    </w:p>
    <w:p>
      <w:pPr>
        <w:pStyle w:val="Normal"/>
        <w:ind w:start="720" w:end="0"/>
        <w:rPr/>
      </w:pPr>
      <w:r>
        <w:rPr>
          <w:rFonts w:cs="Book Antiqua" w:ascii="Book Antiqua" w:hAnsi="Book Antiqua"/>
          <w:sz w:val="20"/>
          <w:szCs w:val="20"/>
          <w:highlight w:val="yellow"/>
        </w:rPr>
        <w:t>b. No important uncertainties surround the amount of unreimbursable costs yet to be incurred by the lessor under the lease. Important uncertainties might include commitments by the lessor to guarantee performance of the leased property in a manner more extensive than the typical product warranty or to effectively protect the lessee from obsolescence of the leased property. However, the necessity of estimating executory costs such as insurance, maintenance, and taxes to be paid by the lessor (see paragraphs 17(a) and 18(a)) shall not by itself constitute an important uncertainty as referred to herein.</w:t>
      </w:r>
      <w:r>
        <w:rPr>
          <w:rFonts w:cs="Book Antiqua" w:ascii="Book Antiqua" w:hAnsi="Book Antiqua"/>
          <w:sz w:val="20"/>
          <w:szCs w:val="20"/>
        </w:rPr>
        <w:t xml:space="preserve"> </w:t>
      </w:r>
    </w:p>
    <w:p>
      <w:pPr>
        <w:pStyle w:val="Normal"/>
        <w:rPr>
          <w:highlight w:val="yellow"/>
        </w:rPr>
      </w:pPr>
      <w:r>
        <w:rPr>
          <w:rFonts w:cs="Book Antiqua" w:ascii="Book Antiqua" w:hAnsi="Book Antiqua"/>
          <w:highlight w:val="yellow"/>
        </w:rPr>
        <w:t>Some network providers may guarantee a minimum level of network performance. In assessing whether the condition in paragraph 8(b) of Statement 13 has been satisfied, the following factors should be considered:</w:t>
      </w:r>
    </w:p>
    <w:p>
      <w:pPr>
        <w:pStyle w:val="Normal"/>
        <w:ind w:start="720" w:end="0"/>
        <w:rPr>
          <w:highlight w:val="yellow"/>
        </w:rPr>
      </w:pPr>
      <w:r>
        <w:rPr>
          <w:highlight w:val="yellow"/>
        </w:rPr>
        <w:t xml:space="preserve">1. </w:t>
      </w:r>
      <w:r>
        <w:rPr>
          <w:rFonts w:cs="Book Antiqua" w:ascii="Book Antiqua" w:hAnsi="Book Antiqua"/>
          <w:highlight w:val="yellow"/>
        </w:rPr>
        <w:t xml:space="preserve">Unimportant issues are usually not included in contracts. The presumption should be that any guarantees included in the contract are important to the customer; </w:t>
      </w:r>
    </w:p>
    <w:p>
      <w:pPr>
        <w:pStyle w:val="NormalWeb"/>
        <w:spacing w:before="0" w:after="0"/>
        <w:ind w:start="720" w:end="0"/>
        <w:rPr/>
      </w:pPr>
      <w:r>
        <w:rPr>
          <w:highlight w:val="yellow"/>
        </w:rPr>
        <w:t xml:space="preserve">2. </w:t>
      </w:r>
      <w:r>
        <w:rPr>
          <w:rFonts w:cs="Book Antiqua" w:ascii="Book Antiqua" w:hAnsi="Book Antiqua"/>
          <w:highlight w:val="yellow"/>
        </w:rPr>
        <w:t>The extent to which the exposure to unreimbursable costs is limited (either as a limit on the monetary amount or because the provider is given a reasonable amount of time to restore service before a penalty is charged). It may be possible that the cap is set at such a level that, while uncertainty remains, it should not be regarded as "important"; and</w:t>
      </w:r>
      <w:r>
        <w:rPr>
          <w:highlight w:val="yellow"/>
        </w:rPr>
        <w:t xml:space="preserve"> </w:t>
      </w:r>
    </w:p>
    <w:p>
      <w:pPr>
        <w:pStyle w:val="NormalWeb"/>
        <w:spacing w:before="0" w:after="0"/>
        <w:ind w:start="720" w:end="0"/>
        <w:rPr/>
      </w:pPr>
      <w:r>
        <w:rPr>
          <w:highlight w:val="yellow"/>
        </w:rPr>
        <w:t xml:space="preserve">3. </w:t>
      </w:r>
      <w:r>
        <w:rPr>
          <w:rFonts w:cs="Book Antiqua" w:ascii="Book Antiqua" w:hAnsi="Book Antiqua"/>
          <w:highlight w:val="yellow"/>
        </w:rPr>
        <w:t>Whether the specified performance conditions in the agreement are similar to those normally offered under a standard manufacturer warranty. Standard warranty terms usually will not prohibit sales-type lease classification. However, warranties that are above and beyond the standard warranty, could cause uncertainty as to the amount of unreimbursable costs that may be incurred. The warranties provided by vendors that construct such networks for others may provide guidance on what constitutes a standard warranty for a network.</w:t>
      </w:r>
      <w:r>
        <w:rPr>
          <w:rFonts w:cs="Book Antiqua" w:ascii="Book Antiqua" w:hAnsi="Book Antiqua"/>
        </w:rPr>
        <w:t xml:space="preserve"> </w:t>
      </w:r>
    </w:p>
    <w:p>
      <w:pPr>
        <w:pStyle w:val="Normal"/>
        <w:rPr>
          <w:highlight w:val="yellow"/>
        </w:rPr>
      </w:pPr>
      <w:r>
        <w:rPr>
          <w:rFonts w:cs="Book Antiqua" w:ascii="Book Antiqua" w:hAnsi="Book Antiqua"/>
        </w:rPr>
        <w:t xml:space="preserve">In certain circumstances, the network provider may be providing a guarantee which is more in the nature of insurance against physical damage to the cable. In those circumstances, companies can analogize the guarantee to a property damage insurance policy. If physical damage to the cable is really what is being insured against and it is possible to objectively determine the fair value of that insurance, then the provider should estimate all the cash inflows and divide that revenue between (1) the value of the asset sold, (2) the value of any operations and maintenance service (O&amp;M), (3) the value of the restoration service (if any), and (4) the value of the property damage insurance, based on the relative fair value of those four items. </w:t>
      </w:r>
      <w:r>
        <w:rPr/>
        <w:br/>
        <w:br/>
      </w:r>
      <w:r>
        <w:rPr>
          <w:rFonts w:cs="Book Antiqua" w:ascii="Book Antiqua" w:hAnsi="Book Antiqua"/>
          <w:b/>
          <w:bCs/>
          <w:highlight w:val="yellow"/>
        </w:rPr>
        <w:t>2.D.3.2. Real Estate and Integral Equipment</w:t>
      </w:r>
      <w:r>
        <w:rPr/>
        <w:br/>
        <w:br/>
      </w:r>
      <w:r>
        <w:rPr>
          <w:rFonts w:cs="Book Antiqua" w:ascii="Book Antiqua" w:hAnsi="Book Antiqua"/>
        </w:rPr>
        <w:t xml:space="preserve">(Updated July 2001 </w:t>
      </w:r>
      <w:r>
        <w:rPr>
          <w:color w:val="0000FF"/>
        </w:rPr>
        <w:drawing>
          <wp:inline distT="0" distB="0" distL="0" distR="0">
            <wp:extent cx="114300" cy="133350"/>
            <wp:effectExtent l="0" t="0" r="0" b="0"/>
            <wp:docPr id="36" name="Image35" descr="" title="">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title="">
                      <a:hlinkClick r:id="rId74"/>
                    </pic:cNvPr>
                    <pic:cNvPicPr>
                      <a:picLocks noChangeAspect="1" noChangeArrowheads="1"/>
                    </pic:cNvPicPr>
                  </pic:nvPicPr>
                  <pic:blipFill>
                    <a:blip r:embed="rId7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highlight w:val="yellow"/>
        </w:rPr>
        <w:t>Statement 66 requires that a sale transaction be considered consummated before it is appropriate to recognize a sale. Consummation of a sale requires that:</w:t>
      </w:r>
    </w:p>
    <w:p>
      <w:pPr>
        <w:pStyle w:val="Normal"/>
        <w:ind w:start="720" w:end="0"/>
        <w:rPr>
          <w:highlight w:val="yellow"/>
        </w:rPr>
      </w:pPr>
      <w:r>
        <w:rPr>
          <w:highlight w:val="yellow"/>
        </w:rPr>
        <w:t xml:space="preserve">1. </w:t>
      </w:r>
      <w:r>
        <w:rPr>
          <w:rFonts w:cs="Book Antiqua" w:ascii="Book Antiqua" w:hAnsi="Book Antiqua"/>
          <w:highlight w:val="yellow"/>
        </w:rPr>
        <w:t xml:space="preserve">The parties are bound by the terms of a contract; </w:t>
      </w:r>
      <w:r>
        <w:rPr>
          <w:highlight w:val="yellow"/>
        </w:rPr>
        <w:br/>
        <w:t xml:space="preserve">2. </w:t>
      </w:r>
      <w:r>
        <w:rPr>
          <w:rFonts w:cs="Book Antiqua" w:ascii="Book Antiqua" w:hAnsi="Book Antiqua"/>
          <w:highlight w:val="yellow"/>
        </w:rPr>
        <w:t>All consideration has been exchanged;</w:t>
      </w:r>
      <w:r>
        <w:rPr>
          <w:highlight w:val="yellow"/>
        </w:rPr>
        <w:br/>
        <w:t xml:space="preserve">3. </w:t>
      </w:r>
      <w:r>
        <w:rPr>
          <w:rFonts w:cs="Book Antiqua" w:ascii="Book Antiqua" w:hAnsi="Book Antiqua"/>
          <w:highlight w:val="yellow"/>
        </w:rPr>
        <w:t xml:space="preserve">Any permanent financing for which the seller is responsible has been arranged; and </w:t>
      </w:r>
      <w:r>
        <w:rPr>
          <w:highlight w:val="yellow"/>
        </w:rPr>
        <w:br/>
        <w:t xml:space="preserve">4. </w:t>
      </w:r>
      <w:r>
        <w:rPr>
          <w:rFonts w:cs="Book Antiqua" w:ascii="Book Antiqua" w:hAnsi="Book Antiqua"/>
          <w:highlight w:val="yellow"/>
        </w:rPr>
        <w:t>All conditions precedent to closing have been performed.</w:t>
      </w:r>
    </w:p>
    <w:p>
      <w:pPr>
        <w:pStyle w:val="Normal"/>
        <w:rPr/>
      </w:pPr>
      <w:r>
        <w:rPr>
          <w:rFonts w:cs="Book Antiqua" w:ascii="Book Antiqua" w:hAnsi="Book Antiqua"/>
          <w:highlight w:val="yellow"/>
        </w:rPr>
        <w:t xml:space="preserve">Consummation of a sale under Statement 66 would normally provide for the transfer of title to the buyer. Statement 13 also requires the transfer of title to the buyer for a real estate transaction to qualify as a sales-type lease (i.e., the lease must meet the criterion in paragraph 7(a) </w:t>
      </w:r>
      <w:r>
        <w:rPr>
          <w:color w:val="0000FF"/>
          <w:highlight w:val="yellow"/>
        </w:rPr>
        <w:drawing>
          <wp:inline distT="0" distB="0" distL="0" distR="0">
            <wp:extent cx="114300" cy="133350"/>
            <wp:effectExtent l="0" t="0" r="0" b="0"/>
            <wp:docPr id="37" name="Image36" descr="" title="">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title="">
                      <a:hlinkClick r:id="rId76"/>
                    </pic:cNvPr>
                    <pic:cNvPicPr>
                      <a:picLocks noChangeAspect="1" noChangeArrowheads="1"/>
                    </pic:cNvPicPr>
                  </pic:nvPicPr>
                  <pic:blipFill>
                    <a:blip r:embed="rId7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of Statement 13).</w:t>
      </w:r>
      <w:r>
        <w:rPr>
          <w:rFonts w:cs="Book Antiqua" w:ascii="Book Antiqua" w:hAnsi="Book Antiqua"/>
        </w:rPr>
        <w:t xml:space="preserve"> Footnote 10a (CT L10.106 fn. 8 </w:t>
      </w:r>
      <w:r>
        <w:rPr>
          <w:color w:val="0000FF"/>
        </w:rPr>
        <w:drawing>
          <wp:inline distT="0" distB="0" distL="0" distR="0">
            <wp:extent cx="114300" cy="133350"/>
            <wp:effectExtent l="0" t="0" r="0" b="0"/>
            <wp:docPr id="38" name="Image37" descr="" title="">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7" descr="" title="">
                      <a:hlinkClick r:id="rId78"/>
                    </pic:cNvPr>
                    <pic:cNvPicPr>
                      <a:picLocks noChangeAspect="1" noChangeArrowheads="1"/>
                    </pic:cNvPicPr>
                  </pic:nvPicPr>
                  <pic:blipFill>
                    <a:blip r:embed="rId7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to Statement 13 states that ownership of the property is deemed to have transferred to the lessee by the end of the lease term if the lease agreement provides for the transfer of the title at or shortly after the end of the lease term in exchange for the payment of a nominal fee, for example, the minimum required by statutory regulation to transfer title. (EITF Issue 00-11, "Meeting the Ownership Transfer Requirements of FASB Statement No. 13, </w:t>
      </w:r>
      <w:r>
        <w:rPr>
          <w:rFonts w:cs="Book Antiqua" w:ascii="Book Antiqua" w:hAnsi="Book Antiqua"/>
          <w:i/>
          <w:iCs/>
        </w:rPr>
        <w:t xml:space="preserve">Accounting for Leases, </w:t>
      </w:r>
      <w:r>
        <w:rPr>
          <w:rFonts w:cs="Book Antiqua" w:ascii="Book Antiqua" w:hAnsi="Book Antiqua"/>
        </w:rPr>
        <w:t xml:space="preserve">for Leases of Real Estate </w:t>
      </w:r>
      <w:r>
        <w:rPr>
          <w:color w:val="0000FF"/>
        </w:rPr>
        <w:drawing>
          <wp:inline distT="0" distB="0" distL="0" distR="0">
            <wp:extent cx="114300" cy="133350"/>
            <wp:effectExtent l="0" t="0" r="0" b="0"/>
            <wp:docPr id="39" name="Image38" descr="" title="">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 descr="" title="">
                      <a:hlinkClick r:id="rId80"/>
                    </pic:cNvPr>
                    <pic:cNvPicPr>
                      <a:picLocks noChangeAspect="1" noChangeArrowheads="1"/>
                    </pic:cNvPicPr>
                  </pic:nvPicPr>
                  <pic:blipFill>
                    <a:blip r:embed="rId7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interprets the phrase "provides for" in footnote 10(a) to mean that legal title (or its equivalent) must transfer to the lessee by the end of the lease term for the criteria in paragraph 7(a) of Statement 13 to be met. See "</w:t>
      </w:r>
      <w:r>
        <w:rPr>
          <w:rFonts w:cs="Book Antiqua" w:ascii="Book Antiqua" w:hAnsi="Book Antiqua"/>
          <w:i/>
          <w:iCs/>
        </w:rPr>
        <w:t>Transfer of Title (or its equivalent)</w:t>
      </w:r>
      <w:r>
        <w:rPr>
          <w:rFonts w:cs="Book Antiqua" w:ascii="Book Antiqua" w:hAnsi="Book Antiqua"/>
        </w:rPr>
        <w:t>" below for further discussion.)</w:t>
      </w:r>
      <w:r>
        <w:rPr/>
        <w:br/>
        <w:br/>
      </w:r>
      <w:r>
        <w:rPr>
          <w:rFonts w:cs="Book Antiqua" w:ascii="Book Antiqua" w:hAnsi="Book Antiqua"/>
        </w:rPr>
        <w:t>If an agreement includes the passage of title (or its equivalent) that meets the criterion in paragraph 7(a) of Statement 13 (as well as the other relevant criteria), the lease should be accounted for as a sales-type lease. (However, full profit on the sales-type leases of real estate should not be recognized until the relevant conditions for full profit recognition are met (see Section 2.D.3.4 below).</w:t>
      </w:r>
      <w:r>
        <w:rPr/>
        <w:br/>
        <w:br/>
      </w:r>
      <w:r>
        <w:rPr>
          <w:rFonts w:cs="Book Antiqua" w:ascii="Book Antiqua" w:hAnsi="Book Antiqua"/>
        </w:rPr>
        <w:t xml:space="preserve">Whether or not an agreement provides the passage of legal title (or its equivalent) is a matter for legal determination. </w:t>
      </w:r>
      <w:r>
        <w:rPr>
          <w:rFonts w:cs="Book Antiqua" w:ascii="Book Antiqua" w:hAnsi="Book Antiqua"/>
          <w:highlight w:val="yellow"/>
        </w:rPr>
        <w:t>However, in order for both conduit and fiber (if the fiber meets the definition of integral equipment) to qualify for sales-type lease accounting it will be necessary for legal title (or its equivalent) to be conveyed for both a specified fiber and wavelength of light within a cable as well as for conduit. It may be necessary for some or all of the legal title (or its equivalent) to be conveyed in the form of an undivided interest.</w:t>
      </w:r>
      <w:r>
        <w:rPr>
          <w:rFonts w:cs="Book Antiqua" w:ascii="Book Antiqua" w:hAnsi="Book Antiqua"/>
        </w:rPr>
        <w:t xml:space="preserve"> Statement of Financial Accounting Standards No. 140, </w:t>
      </w:r>
      <w:r>
        <w:rPr>
          <w:rFonts w:cs="Book Antiqua" w:ascii="Book Antiqua" w:hAnsi="Book Antiqua"/>
          <w:i/>
          <w:iCs/>
        </w:rPr>
        <w:t xml:space="preserve">Accounting for Transfers and Servicing of Financial Assets and Extinguishments of Liabilities </w:t>
      </w:r>
      <w:r>
        <w:rPr>
          <w:color w:val="0000FF"/>
        </w:rPr>
        <w:drawing>
          <wp:inline distT="0" distB="0" distL="0" distR="0">
            <wp:extent cx="114300" cy="133350"/>
            <wp:effectExtent l="0" t="0" r="0" b="0"/>
            <wp:docPr id="40" name="Image39" descr="" title="">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 descr="" title="">
                      <a:hlinkClick r:id="rId82"/>
                    </pic:cNvPr>
                    <pic:cNvPicPr>
                      <a:picLocks noChangeAspect="1" noChangeArrowheads="1"/>
                    </pic:cNvPicPr>
                  </pic:nvPicPr>
                  <pic:blipFill>
                    <a:blip r:embed="rId8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rPr>
        <w:t>,</w:t>
      </w:r>
      <w:r>
        <w:rPr>
          <w:rFonts w:cs="Book Antiqua" w:ascii="Book Antiqua" w:hAnsi="Book Antiqua"/>
        </w:rPr>
        <w:t xml:space="preserve"> defines an undivided interest as follows:</w:t>
      </w:r>
    </w:p>
    <w:p>
      <w:pPr>
        <w:pStyle w:val="Normal"/>
        <w:ind w:start="720" w:end="0"/>
        <w:rPr>
          <w:rFonts w:ascii="Book Antiqua" w:hAnsi="Book Antiqua" w:cs="Book Antiqua"/>
          <w:sz w:val="20"/>
          <w:szCs w:val="20"/>
        </w:rPr>
      </w:pPr>
      <w:r>
        <w:rPr>
          <w:rFonts w:cs="Book Antiqua" w:ascii="Book Antiqua" w:hAnsi="Book Antiqua"/>
          <w:sz w:val="20"/>
          <w:szCs w:val="20"/>
        </w:rPr>
        <w:t>Partial legal or beneficial ownership of an asset as a tenant in common with others. The proportion owned may be pro rata, for example, the right to receive 50 percent of all cash flows from a security, or non-pro rata, for example, the right to receive the interest from a security while another has the right to the principal.</w:t>
      </w:r>
    </w:p>
    <w:p>
      <w:pPr>
        <w:pStyle w:val="Normal"/>
        <w:rPr>
          <w:highlight w:val="yellow"/>
        </w:rPr>
      </w:pPr>
      <w:r>
        <w:rPr>
          <w:rFonts w:cs="Book Antiqua" w:ascii="Book Antiqua" w:hAnsi="Book Antiqua"/>
          <w:highlight w:val="yellow"/>
        </w:rPr>
        <w:t xml:space="preserve">We do not believe it is necessary for the arrangement to transfer title to the underlying land. Paragraph 38 </w:t>
      </w:r>
      <w:r>
        <w:rPr>
          <w:color w:val="0000FF"/>
          <w:highlight w:val="yellow"/>
        </w:rPr>
        <w:drawing>
          <wp:inline distT="0" distB="0" distL="0" distR="0">
            <wp:extent cx="114300" cy="133350"/>
            <wp:effectExtent l="0" t="0" r="0" b="0"/>
            <wp:docPr id="41" name="Image40" descr="" title="">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0" descr="" title="">
                      <a:hlinkClick r:id="rId84"/>
                    </pic:cNvPr>
                    <pic:cNvPicPr>
                      <a:picLocks noChangeAspect="1" noChangeArrowheads="1"/>
                    </pic:cNvPicPr>
                  </pic:nvPicPr>
                  <pic:blipFill>
                    <a:blip r:embed="rId8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of Statement 66 specifically addresses the circumstances in which full profit recognition may be appropriate for the sale of property improvements even though the underlying land is not sold.</w:t>
      </w:r>
      <w:r>
        <w:rPr/>
        <w:br/>
        <w:br/>
      </w:r>
      <w:r>
        <w:rPr>
          <w:rFonts w:cs="Book Antiqua" w:ascii="Book Antiqua" w:hAnsi="Book Antiqua"/>
        </w:rPr>
        <w:t xml:space="preserve">If an IRU does not pass title (or its equivalent) to the integral equipment, FIN 43 </w:t>
      </w:r>
      <w:r>
        <w:rPr>
          <w:color w:val="0000FF"/>
        </w:rPr>
        <w:drawing>
          <wp:inline distT="0" distB="0" distL="0" distR="0">
            <wp:extent cx="114300" cy="133350"/>
            <wp:effectExtent l="0" t="0" r="0" b="0"/>
            <wp:docPr id="42" name="Image41" descr="" title="">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 descr="" title="">
                      <a:hlinkClick r:id="rId86"/>
                    </pic:cNvPr>
                    <pic:cNvPicPr>
                      <a:picLocks noChangeAspect="1" noChangeArrowheads="1"/>
                    </pic:cNvPicPr>
                  </pic:nvPicPr>
                  <pic:blipFill>
                    <a:blip r:embed="rId8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(as clarified by Issue 00-11 </w:t>
      </w:r>
      <w:r>
        <w:rPr>
          <w:color w:val="0000FF"/>
        </w:rPr>
        <w:drawing>
          <wp:inline distT="0" distB="0" distL="0" distR="0">
            <wp:extent cx="114300" cy="133350"/>
            <wp:effectExtent l="0" t="0" r="0" b="0"/>
            <wp:docPr id="43" name="Image42" descr="" title="">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2" descr="" title="">
                      <a:hlinkClick r:id="rId88"/>
                    </pic:cNvPr>
                    <pic:cNvPicPr>
                      <a:picLocks noChangeAspect="1" noChangeArrowheads="1"/>
                    </pic:cNvPicPr>
                  </pic:nvPicPr>
                  <pic:blipFill>
                    <a:blip r:embed="rId8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precludes sales-type lease accounting. Leases involving real estate and integral equipment for which the fair value of the leased property at the inception of the lease is different from its cost or carrying amount (and which therefore could not meet the definition of a direct financing lease) that do not transfer title to the lessee would have to be classified as operating leases. (If the fair value of the leased property at inception of the lease is not different from its cost or carrying amount, direct financing or leveraged lease accounting may be appropriate even if title does not pass to the lessee by the end of the lease term. This situation is not considered further in this paper.)</w:t>
      </w:r>
      <w:r>
        <w:rPr/>
        <w:br/>
        <w:br/>
      </w:r>
      <w:r>
        <w:rPr>
          <w:rFonts w:cs="Book Antiqua" w:ascii="Book Antiqua" w:hAnsi="Book Antiqua"/>
          <w:highlight w:val="yellow"/>
        </w:rPr>
        <w:t>A lease of real estate or integral equipment is classified as a sales-type lease, provided it meets the criteria in paragraph 7(a) of Statement 13 alone – it does not also need to meet the criteria in paragraph 8 (collectibility of minimum lease payments and no significant uncertainty regarding unreimbursable costs yet to be incurred). Those criteria cease to be directly relevant.</w:t>
      </w:r>
      <w:r>
        <w:rPr/>
        <w:br/>
        <w:br/>
      </w:r>
      <w:r>
        <w:rPr>
          <w:rFonts w:cs="Book Antiqua" w:ascii="Book Antiqua" w:hAnsi="Book Antiqua"/>
          <w:highlight w:val="yellow"/>
        </w:rPr>
        <w:t>However, other provisions of Statement 66 have an effect similar to the criteria in paragraph 8 of Statement 13:</w:t>
      </w:r>
    </w:p>
    <w:p>
      <w:pPr>
        <w:pStyle w:val="Normal"/>
        <w:ind w:start="720" w:end="0"/>
        <w:rPr/>
      </w:pPr>
      <w:r>
        <w:rPr>
          <w:highlight w:val="yellow"/>
        </w:rPr>
        <w:t xml:space="preserve">1. </w:t>
      </w:r>
      <w:r>
        <w:rPr>
          <w:rFonts w:cs="Book Antiqua" w:ascii="Book Antiqua" w:hAnsi="Book Antiqua"/>
          <w:highlight w:val="yellow"/>
        </w:rPr>
        <w:t xml:space="preserve">Paragraph 5 </w:t>
      </w:r>
      <w:r>
        <w:rPr>
          <w:color w:val="0000FF"/>
          <w:highlight w:val="yellow"/>
        </w:rPr>
        <w:drawing>
          <wp:inline distT="0" distB="0" distL="0" distR="0">
            <wp:extent cx="114300" cy="133350"/>
            <wp:effectExtent l="0" t="0" r="0" b="0"/>
            <wp:docPr id="44" name="Image43" descr="" titl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3" descr="" title="">
                      <a:hlinkClick r:id="rId90"/>
                    </pic:cNvPr>
                    <pic:cNvPicPr>
                      <a:picLocks noChangeAspect="1" noChangeArrowheads="1"/>
                    </pic:cNvPicPr>
                  </pic:nvPicPr>
                  <pic:blipFill>
                    <a:blip r:embed="rId8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of Statement 66 requires that the buyer's initial and continuing investment in the property should be adequate to demonstrate a commitment to pay for the property and to indicate a reasonable likelihood that the seller will collect the receivable.</w:t>
      </w:r>
      <w:r>
        <w:rPr>
          <w:highlight w:val="yellow"/>
        </w:rPr>
        <w:t xml:space="preserve"> </w:t>
      </w:r>
    </w:p>
    <w:p>
      <w:pPr>
        <w:pStyle w:val="NormalWeb"/>
        <w:spacing w:before="0" w:after="0"/>
        <w:ind w:start="720" w:end="0"/>
        <w:rPr>
          <w:highlight w:val="yellow"/>
        </w:rPr>
      </w:pPr>
      <w:r>
        <w:rPr>
          <w:highlight w:val="yellow"/>
        </w:rPr>
        <w:t xml:space="preserve">2. </w:t>
      </w:r>
      <w:r>
        <w:rPr>
          <w:rFonts w:cs="Book Antiqua" w:ascii="Book Antiqua" w:hAnsi="Book Antiqua"/>
          <w:highlight w:val="yellow"/>
        </w:rPr>
        <w:t xml:space="preserve">Paragraphs 25 through 43 </w:t>
      </w:r>
      <w:r>
        <w:rPr>
          <w:color w:val="0000FF"/>
          <w:highlight w:val="yellow"/>
        </w:rPr>
        <w:drawing>
          <wp:inline distT="0" distB="0" distL="0" distR="0">
            <wp:extent cx="114300" cy="133350"/>
            <wp:effectExtent l="0" t="0" r="0" b="0"/>
            <wp:docPr id="45" name="Image44" descr="" title="">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4" descr="" title="">
                      <a:hlinkClick r:id="rId92"/>
                    </pic:cNvPr>
                    <pic:cNvPicPr>
                      <a:picLocks noChangeAspect="1" noChangeArrowheads="1"/>
                    </pic:cNvPicPr>
                  </pic:nvPicPr>
                  <pic:blipFill>
                    <a:blip r:embed="rId9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of Statement 66 addresses the effect of various forms of continuing involvement by the seller:</w:t>
      </w:r>
    </w:p>
    <w:p>
      <w:pPr>
        <w:pStyle w:val="Normal"/>
        <w:ind w:start="720" w:end="0"/>
        <w:rPr>
          <w:highlight w:val="yellow"/>
        </w:rPr>
      </w:pPr>
      <w:r>
        <w:rPr>
          <w:rFonts w:cs="Book Antiqua" w:ascii="Book Antiqua" w:hAnsi="Book Antiqua"/>
          <w:highlight w:val="yellow"/>
        </w:rPr>
        <w:t xml:space="preserve">a. For example, if the network capacity provider has continuing involvement through a guarantee of performance and the "maximum loss" can be quantified, then sales accounting is still possible, but the profit will be reduced by the maximum exposure. However, where the loss cannot be absolutely quantified full profit recognition would likely not be possible; </w:t>
      </w:r>
    </w:p>
    <w:p>
      <w:pPr>
        <w:pStyle w:val="NormalWeb"/>
        <w:spacing w:before="0" w:after="0"/>
        <w:ind w:start="720" w:end="0"/>
        <w:rPr/>
      </w:pPr>
      <w:r>
        <w:rPr>
          <w:rFonts w:cs="Book Antiqua" w:ascii="Book Antiqua" w:hAnsi="Book Antiqua"/>
          <w:highlight w:val="yellow"/>
        </w:rPr>
        <w:t>b. Paragraph 29 of Statement 66 addresses the effect where the seller is required to support operations;</w:t>
      </w:r>
      <w:r>
        <w:rPr>
          <w:highlight w:val="yellow"/>
        </w:rPr>
        <w:t xml:space="preserve"> </w:t>
      </w:r>
    </w:p>
    <w:p>
      <w:pPr>
        <w:pStyle w:val="NormalWeb"/>
        <w:spacing w:before="0" w:after="0"/>
        <w:ind w:start="720" w:end="0"/>
        <w:rPr/>
      </w:pPr>
      <w:r>
        <w:rPr>
          <w:rFonts w:cs="Book Antiqua" w:ascii="Book Antiqua" w:hAnsi="Book Antiqua"/>
          <w:highlight w:val="yellow"/>
        </w:rPr>
        <w:t>c. Paragraph 31 of Statement 66 addresses the circumstances where the seller is required to provide management services. This would likely not be an issue because, as discussed below, it will be necessary to identify the fair value of any O&amp;M revenue stream and account for it separately; and</w:t>
      </w:r>
      <w:r>
        <w:rPr>
          <w:highlight w:val="yellow"/>
        </w:rPr>
        <w:t xml:space="preserve"> </w:t>
      </w:r>
    </w:p>
    <w:p>
      <w:pPr>
        <w:pStyle w:val="NormalWeb"/>
        <w:spacing w:before="0" w:after="0"/>
        <w:ind w:start="720" w:end="0"/>
        <w:rPr>
          <w:highlight w:val="yellow"/>
        </w:rPr>
      </w:pPr>
      <w:r>
        <w:rPr>
          <w:rFonts w:cs="Book Antiqua" w:ascii="Book Antiqua" w:hAnsi="Book Antiqua"/>
          <w:highlight w:val="yellow"/>
        </w:rPr>
        <w:t>d. Paragraph 33 of Statement 66 addresses the circumstances where the seller retains a partial interest in the property and the seller is required to support the operations of the property or its related obligations to an extent greater than the seller's proportionate retained interest.</w:t>
      </w:r>
    </w:p>
    <w:p>
      <w:pPr>
        <w:pStyle w:val="Normal"/>
        <w:rPr/>
      </w:pPr>
      <w:r>
        <w:rPr>
          <w:rFonts w:cs="Book Antiqua" w:ascii="Book Antiqua" w:hAnsi="Book Antiqua"/>
          <w:b/>
          <w:bCs/>
          <w:highlight w:val="yellow"/>
        </w:rPr>
        <w:t>*****</w:t>
      </w:r>
      <w:r>
        <w:rPr/>
        <w:br/>
        <w:br/>
      </w:r>
      <w:r>
        <w:rPr>
          <w:rFonts w:cs="Book Antiqua" w:ascii="Book Antiqua" w:hAnsi="Book Antiqua"/>
          <w:b/>
          <w:bCs/>
          <w:i/>
          <w:iCs/>
        </w:rPr>
        <w:t>Transfer of Title (or its equivalent)</w:t>
      </w:r>
      <w:r>
        <w:rPr/>
        <w:br/>
        <w:br/>
      </w:r>
      <w:r>
        <w:rPr>
          <w:rFonts w:cs="Book Antiqua" w:ascii="Book Antiqua" w:hAnsi="Book Antiqua"/>
        </w:rPr>
        <w:t xml:space="preserve">During the course of the November 15/16 1999 Global Capacity Providers CFO Roundtable, it became clear that there was uncertainty as to how the phrase "transfer of title" in Footnote 10 </w:t>
      </w:r>
      <w:r>
        <w:rPr>
          <w:color w:val="0000FF"/>
        </w:rPr>
        <w:drawing>
          <wp:inline distT="0" distB="0" distL="0" distR="0">
            <wp:extent cx="114300" cy="133350"/>
            <wp:effectExtent l="0" t="0" r="0" b="0"/>
            <wp:docPr id="46" name="Image45" descr="" title="">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 descr="" title="">
                      <a:hlinkClick r:id="rId94"/>
                    </pic:cNvPr>
                    <pic:cNvPicPr>
                      <a:picLocks noChangeAspect="1" noChangeArrowheads="1"/>
                    </pic:cNvPicPr>
                  </pic:nvPicPr>
                  <pic:blipFill>
                    <a:blip r:embed="rId9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to Statement 13 should be interpreted in certain situations. In Issue 00-11 </w:t>
      </w:r>
      <w:r>
        <w:rPr>
          <w:color w:val="0000FF"/>
        </w:rPr>
        <w:drawing>
          <wp:inline distT="0" distB="0" distL="0" distR="0">
            <wp:extent cx="114300" cy="133350"/>
            <wp:effectExtent l="0" t="0" r="0" b="0"/>
            <wp:docPr id="47" name="Image46" descr="" title="">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6" descr="" title="">
                      <a:hlinkClick r:id="rId96"/>
                    </pic:cNvPr>
                    <pic:cNvPicPr>
                      <a:picLocks noChangeAspect="1" noChangeArrowheads="1"/>
                    </pic:cNvPicPr>
                  </pic:nvPicPr>
                  <pic:blipFill>
                    <a:blip r:embed="rId9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the Task Force addressed how the criterion in paragraph 7(a) </w:t>
      </w:r>
      <w:r>
        <w:rPr>
          <w:color w:val="0000FF"/>
        </w:rPr>
        <w:drawing>
          <wp:inline distT="0" distB="0" distL="0" distR="0">
            <wp:extent cx="114300" cy="133350"/>
            <wp:effectExtent l="0" t="0" r="0" b="0"/>
            <wp:docPr id="48" name="Image47" descr="" title="">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7" descr="" title="">
                      <a:hlinkClick r:id="rId98"/>
                    </pic:cNvPr>
                    <pic:cNvPicPr>
                      <a:picLocks noChangeAspect="1" noChangeArrowheads="1"/>
                    </pic:cNvPicPr>
                  </pic:nvPicPr>
                  <pic:blipFill>
                    <a:blip r:embed="rId9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should be applied for leases of integral equipment or property improvements where no title registration system exists (for example, a subsea IRU that extends only through international waters). The Task Force reached a consensus that for integral equipment or property improvements for which no title registration system exists, the criterion in paragraph 7(a) of Statement 13 is only met in lease agreements that obligate the lessor to deliver such documents (including, if applicable, a bill of sale) to the lessee that are necessary to convey ownership to the lessee by the end of the lease term.</w:t>
      </w:r>
      <w:r>
        <w:rPr/>
        <w:br/>
        <w:br/>
      </w:r>
      <w:r>
        <w:rPr>
          <w:rFonts w:cs="Book Antiqua" w:ascii="Book Antiqua" w:hAnsi="Book Antiqua"/>
        </w:rPr>
        <w:t xml:space="preserve">The consensus affects revenue recognition for capacity providers who historically applied sales-type lease accounting to a capacity contract that, among many other required criteria, contained a provision that </w:t>
      </w:r>
      <w:r>
        <w:rPr>
          <w:rFonts w:cs="Book Antiqua" w:ascii="Book Antiqua" w:hAnsi="Book Antiqua"/>
          <w:u w:val="single"/>
        </w:rPr>
        <w:t>permitted</w:t>
      </w:r>
      <w:r>
        <w:rPr>
          <w:rFonts w:cs="Book Antiqua" w:ascii="Book Antiqua" w:hAnsi="Book Antiqua"/>
        </w:rPr>
        <w:t xml:space="preserve"> the lessee to obtain ownership to the rights-of-way and/or the integral equipment at or shortly after the end of a lease term in exchange for a nominal fee (commonly the minimum required by statutory regulation to transfer title).</w:t>
      </w:r>
      <w:r>
        <w:rPr/>
        <w:br/>
        <w:br/>
      </w:r>
      <w:r>
        <w:rPr>
          <w:rFonts w:cs="Book Antiqua" w:ascii="Book Antiqua" w:hAnsi="Book Antiqua"/>
          <w:highlight w:val="yellow"/>
        </w:rPr>
        <w:t xml:space="preserve">However, the consensus in Issue 00-11 </w:t>
      </w:r>
      <w:r>
        <w:rPr>
          <w:rFonts w:cs="Book Antiqua" w:ascii="Book Antiqua" w:hAnsi="Book Antiqua"/>
          <w:highlight w:val="yellow"/>
          <w:u w:val="single"/>
        </w:rPr>
        <w:t>requires</w:t>
      </w:r>
      <w:r>
        <w:rPr>
          <w:rFonts w:cs="Book Antiqua" w:ascii="Book Antiqua" w:hAnsi="Book Antiqua"/>
          <w:highlight w:val="yellow"/>
        </w:rPr>
        <w:t xml:space="preserve"> that ownership must transfer. A provision in a lease agreement where ownership of the leased property may not transfer to the lessee if the lessee elects not to pay the specified nominal fee to complete the transfer of ownership is considered a </w:t>
      </w:r>
      <w:r>
        <w:rPr>
          <w:rFonts w:cs="Book Antiqua" w:ascii="Book Antiqua" w:hAnsi="Book Antiqua"/>
          <w:i/>
          <w:iCs/>
          <w:highlight w:val="yellow"/>
        </w:rPr>
        <w:t>purchase option</w:t>
      </w:r>
      <w:r>
        <w:rPr>
          <w:rFonts w:cs="Book Antiqua" w:ascii="Book Antiqua" w:hAnsi="Book Antiqua"/>
          <w:highlight w:val="yellow"/>
        </w:rPr>
        <w:t xml:space="preserve"> that does </w:t>
      </w:r>
      <w:r>
        <w:rPr>
          <w:rFonts w:cs="Book Antiqua" w:ascii="Book Antiqua" w:hAnsi="Book Antiqua"/>
          <w:highlight w:val="yellow"/>
          <w:u w:val="single"/>
        </w:rPr>
        <w:t>not</w:t>
      </w:r>
      <w:r>
        <w:rPr>
          <w:rFonts w:cs="Book Antiqua" w:ascii="Book Antiqua" w:hAnsi="Book Antiqua"/>
          <w:highlight w:val="yellow"/>
        </w:rPr>
        <w:t xml:space="preserve"> satisfy criterion 7(a) of Statement 13.</w:t>
      </w:r>
      <w:r>
        <w:rPr/>
        <w:br/>
        <w:br/>
      </w:r>
      <w:r>
        <w:rPr>
          <w:rFonts w:cs="Book Antiqua" w:ascii="Book Antiqua" w:hAnsi="Book Antiqua"/>
        </w:rPr>
        <w:t>The guidance in EITF Issue 00-11 is effective prospectively for all transactions occurring after July 19, 2001.</w:t>
      </w:r>
      <w:r>
        <w:rPr/>
        <w:br/>
        <w:br/>
      </w:r>
      <w:r>
        <w:rPr>
          <w:rFonts w:cs="Book Antiqua" w:ascii="Book Antiqua" w:hAnsi="Book Antiqua"/>
        </w:rPr>
        <w:t xml:space="preserve">Although Issue 00-11 </w:t>
      </w:r>
      <w:r>
        <w:rPr>
          <w:color w:val="0000FF"/>
        </w:rPr>
        <w:drawing>
          <wp:inline distT="0" distB="0" distL="0" distR="0">
            <wp:extent cx="114300" cy="133350"/>
            <wp:effectExtent l="0" t="0" r="0" b="0"/>
            <wp:docPr id="49" name="Image48" descr="" title="">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8" descr="" title="">
                      <a:hlinkClick r:id="rId100"/>
                    </pic:cNvPr>
                    <pic:cNvPicPr>
                      <a:picLocks noChangeAspect="1" noChangeArrowheads="1"/>
                    </pic:cNvPicPr>
                  </pic:nvPicPr>
                  <pic:blipFill>
                    <a:blip r:embed="rId9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clarifies the criterion in paragraph 7(a) </w:t>
      </w:r>
      <w:r>
        <w:rPr>
          <w:color w:val="0000FF"/>
        </w:rPr>
        <w:drawing>
          <wp:inline distT="0" distB="0" distL="0" distR="0">
            <wp:extent cx="114300" cy="133350"/>
            <wp:effectExtent l="0" t="0" r="0" b="0"/>
            <wp:docPr id="50" name="Image49" descr="" title="">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9" descr="" title="">
                      <a:hlinkClick r:id="rId102"/>
                    </pic:cNvPr>
                    <pic:cNvPicPr>
                      <a:picLocks noChangeAspect="1" noChangeArrowheads="1"/>
                    </pic:cNvPicPr>
                  </pic:nvPicPr>
                  <pic:blipFill>
                    <a:blip r:embed="rId10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some uncertainty remains as to what the transfer of title (or its equivalent) must relate. In the White Paper, we refer to title being conveyed to an undivided interest. We believe that not only must there be a provision providing for transfer an undivided interest in the cable at the end of the IRU but also it must give the purchaser a right in perpetuity to the particular wavelength/circuit it had under the IRU. It is not enough to argue that the system will be decommissioned and therefore that there is no need to give the purchaser the right to use the same specific and identifiable asset that was the subject of the lease. Put simply, in order to get lease accounting the asset has to be specific and to get sales accounting, title (or its equivalent) to that specific asset has to be transferred.</w:t>
      </w:r>
      <w:r>
        <w:rPr/>
        <w:br/>
        <w:br/>
      </w:r>
      <w:r>
        <w:rPr>
          <w:rFonts w:cs="Book Antiqua" w:ascii="Book Antiqua" w:hAnsi="Book Antiqua"/>
          <w:b/>
          <w:bCs/>
        </w:rPr>
        <w:t>2.D.3.3. Timing of Revenue Recognition</w:t>
      </w:r>
      <w:r>
        <w:rPr/>
        <w:br/>
        <w:br/>
      </w:r>
      <w:r>
        <w:rPr>
          <w:rFonts w:cs="Book Antiqua" w:ascii="Book Antiqua" w:hAnsi="Book Antiqua"/>
        </w:rPr>
        <w:t>Revenue should be recognized when earned. In the case of a sales-type lease of network capacity, revenue is not earned until:</w:t>
      </w:r>
    </w:p>
    <w:p>
      <w:pPr>
        <w:pStyle w:val="Normal"/>
        <w:ind w:start="720" w:end="0"/>
        <w:rPr/>
      </w:pPr>
      <w:r>
        <w:rPr/>
        <w:t xml:space="preserve">1. </w:t>
      </w:r>
      <w:r>
        <w:rPr>
          <w:rFonts w:cs="Book Antiqua" w:ascii="Book Antiqua" w:hAnsi="Book Antiqua"/>
        </w:rPr>
        <w:t xml:space="preserve">The purchaser has the immediate right to the capacity; </w:t>
      </w:r>
    </w:p>
    <w:p>
      <w:pPr>
        <w:pStyle w:val="NormalWeb"/>
        <w:spacing w:before="0" w:after="0"/>
        <w:ind w:start="720" w:end="0"/>
        <w:rPr/>
      </w:pPr>
      <w:r>
        <w:rPr/>
        <w:t xml:space="preserve">2. </w:t>
      </w:r>
      <w:r>
        <w:rPr>
          <w:rFonts w:cs="Book Antiqua" w:ascii="Book Antiqua" w:hAnsi="Book Antiqua"/>
        </w:rPr>
        <w:t>The capacity is available for use; and</w:t>
      </w:r>
      <w:r>
        <w:rPr/>
        <w:t xml:space="preserve"> </w:t>
      </w:r>
    </w:p>
    <w:p>
      <w:pPr>
        <w:pStyle w:val="NormalWeb"/>
        <w:spacing w:before="0" w:after="0"/>
        <w:ind w:start="720" w:end="0"/>
        <w:rPr/>
      </w:pPr>
      <w:r>
        <w:rPr/>
        <w:t xml:space="preserve">3. </w:t>
      </w:r>
      <w:r>
        <w:rPr>
          <w:rFonts w:cs="Book Antiqua" w:ascii="Book Antiqua" w:hAnsi="Book Antiqua"/>
        </w:rPr>
        <w:t>The customer is obligated to pay, directly or indirectly, for its share of operating and maintenance costs. If the customer's obligation to pay for its share of operating and maintenance costs does not begin until, for example, the customer begins using the capacity, the provider has retained a significant characteristic of ownership until the customer begins using the capacity.</w:t>
      </w:r>
    </w:p>
    <w:p>
      <w:pPr>
        <w:pStyle w:val="Normal"/>
        <w:rPr/>
      </w:pPr>
      <w:r>
        <w:rPr>
          <w:rFonts w:cs="Book Antiqua" w:ascii="Book Antiqua" w:hAnsi="Book Antiqua"/>
        </w:rPr>
        <w:t>In addition, to the extent that the IRU involves real estate, profit on the sales-type leases of real estate should not be recognized until the relevant conditions for profit recognition are met. Statement 66 requires that profit be recognized under other methods when a sale does not qualify for the full accrual method of profit recognition.</w:t>
      </w:r>
      <w:r>
        <w:rPr/>
        <w:br/>
        <w:br/>
      </w:r>
      <w:r>
        <w:rPr>
          <w:rFonts w:cs="Book Antiqua" w:ascii="Book Antiqua" w:hAnsi="Book Antiqua"/>
        </w:rPr>
        <w:t>The full accrual method of profit recognition requires that (i) the sale be consummated, (ii) the buyer's initial and continuing investments are adequate to demonstrate a commitment to pay for the property, (iii) the seller's receivable is not subject to future subordination, and (iv) the seller has transferred to the buyer the usual risks and rewards of ownership in a transaction that is in substance a sale and does not have a substantial continuing involvement with the property.</w:t>
      </w:r>
      <w:r>
        <w:rPr/>
        <w:br/>
        <w:br/>
      </w:r>
      <w:r>
        <w:rPr>
          <w:rFonts w:cs="Book Antiqua" w:ascii="Book Antiqua" w:hAnsi="Book Antiqua"/>
        </w:rPr>
        <w:t xml:space="preserve">If, for instance, the down payment under the sales-type lease is not significant compared to the sales value, the profit recognition criteria in Statement 66 may not be met. Paragraph 54 </w:t>
      </w:r>
      <w:r>
        <w:rPr>
          <w:color w:val="0000FF"/>
        </w:rPr>
        <w:drawing>
          <wp:inline distT="0" distB="0" distL="0" distR="0">
            <wp:extent cx="114300" cy="133350"/>
            <wp:effectExtent l="0" t="0" r="0" b="0"/>
            <wp:docPr id="51" name="Image50" descr="" title="">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0" descr="" title="">
                      <a:hlinkClick r:id="rId104"/>
                    </pic:cNvPr>
                    <pic:cNvPicPr>
                      <a:picLocks noChangeAspect="1" noChangeArrowheads="1"/>
                    </pic:cNvPicPr>
                  </pic:nvPicPr>
                  <pic:blipFill>
                    <a:blip r:embed="rId10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66 specifies certain minimum percentages for initial investment. We believe that the relevant percentage for integral equipment represented by network related assets should be 25%.</w:t>
      </w:r>
      <w:r>
        <w:rPr/>
        <w:br/>
        <w:br/>
      </w:r>
      <w:r>
        <w:rPr>
          <w:rFonts w:cs="Book Antiqua" w:ascii="Book Antiqua" w:hAnsi="Book Antiqua"/>
          <w:b/>
          <w:bCs/>
        </w:rPr>
        <w:t>2.D.3.4 Significance of Leases of the Underlying Land</w:t>
      </w:r>
      <w:r>
        <w:rPr/>
        <w:br/>
        <w:br/>
      </w:r>
      <w:r>
        <w:rPr>
          <w:rFonts w:cs="Book Antiqua" w:ascii="Book Antiqua" w:hAnsi="Book Antiqua"/>
        </w:rPr>
        <w:t>FIN 43 only applies to sales of integral equipment where there is either an outright sale of the underlying land or an explicit or implicit lease of the underlying land to the purchaser.</w:t>
      </w:r>
      <w:r>
        <w:rPr/>
        <w:br/>
        <w:br/>
      </w:r>
      <w:r>
        <w:rPr>
          <w:rFonts w:cs="Book Antiqua" w:ascii="Book Antiqua" w:hAnsi="Book Antiqua"/>
        </w:rPr>
        <w:t>In many cases, the provider of network capacity will not actually own the land to which the network-related assets are attached but may have acquired rights to use the land from the owner through some form of right-of-way agreement for the purpose of installing the assets. Generally such agreements constitute an operating lease from the perspective of the network capacity provider (the lessee) and will be accounted for accordingly.</w:t>
      </w:r>
      <w:r>
        <w:rPr/>
        <w:br/>
        <w:br/>
      </w:r>
      <w:r>
        <w:rPr>
          <w:rFonts w:cs="Book Antiqua" w:ascii="Book Antiqua" w:hAnsi="Book Antiqua"/>
        </w:rPr>
        <w:t>As far as the lease agreement between the network capacity provider and the purchaser is concerned, it is possible that the purchaser could assume the network capacity provider's land lease and relieve the provider from all further obligations under the lease. In such a case, the amount of profit to be recognized on the sale of the integral equipment is simply the difference between the sales value and the cost of the equipment. However, for purposes of determining the adequacy of the purchaser's initial and continuing investments under Statement 66, the land lease obligation has the same effect as an assumed nonrecourse first mortgage on the property sold; i.e., the down payment and continuing investment tests must be applied against the sum of (1) the sales value of the improvements and (2) the discounted present value of the lease obligations over the actual, or assumed customary, term of primary indebtedness on the property.</w:t>
      </w:r>
      <w:r>
        <w:rPr/>
        <w:br/>
        <w:br/>
      </w:r>
      <w:r>
        <w:rPr>
          <w:rFonts w:cs="Book Antiqua" w:ascii="Book Antiqua" w:hAnsi="Book Antiqua"/>
        </w:rPr>
        <w:t xml:space="preserve">The more common situation would be that the purchaser would have an explicit or implicit sublease of the land subject to the network capacity provider's land lease. In that case, Statement 13 provides that if the network capacity provider is the lessee under an operating lease, then the sub-lease of the land must also be an operating lease. </w:t>
      </w:r>
      <w:r>
        <w:rPr/>
        <w:br/>
        <w:br/>
      </w:r>
      <w:r>
        <w:rPr>
          <w:rFonts w:cs="Book Antiqua" w:ascii="Book Antiqua" w:hAnsi="Book Antiqua"/>
        </w:rPr>
        <w:t xml:space="preserve">FIN 43 refers to paragraphs 38 and 39 </w:t>
      </w:r>
      <w:r>
        <w:rPr>
          <w:color w:val="0000FF"/>
        </w:rPr>
        <w:drawing>
          <wp:inline distT="0" distB="0" distL="0" distR="0">
            <wp:extent cx="114300" cy="133350"/>
            <wp:effectExtent l="0" t="0" r="0" b="0"/>
            <wp:docPr id="52" name="Image51" descr="" title="">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1" descr="" title="">
                      <a:hlinkClick r:id="rId106"/>
                    </pic:cNvPr>
                    <pic:cNvPicPr>
                      <a:picLocks noChangeAspect="1" noChangeArrowheads="1"/>
                    </pic:cNvPicPr>
                  </pic:nvPicPr>
                  <pic:blipFill>
                    <a:blip r:embed="rId10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66 as follows:</w:t>
      </w:r>
    </w:p>
    <w:p>
      <w:pPr>
        <w:pStyle w:val="Normal"/>
        <w:ind w:start="720" w:end="0"/>
        <w:rPr>
          <w:rFonts w:ascii="Book Antiqua" w:hAnsi="Book Antiqua" w:cs="Book Antiqua"/>
          <w:sz w:val="20"/>
          <w:szCs w:val="20"/>
        </w:rPr>
      </w:pPr>
      <w:r>
        <w:rPr>
          <w:rFonts w:cs="Book Antiqua" w:ascii="Book Antiqua" w:hAnsi="Book Antiqua"/>
          <w:sz w:val="20"/>
          <w:szCs w:val="20"/>
        </w:rPr>
        <w:t>…</w:t>
      </w:r>
      <w:r>
        <w:rPr>
          <w:rFonts w:eastAsia="Book Antiqua" w:cs="Book Antiqua" w:ascii="Book Antiqua" w:hAnsi="Book Antiqua"/>
          <w:sz w:val="20"/>
          <w:szCs w:val="20"/>
        </w:rPr>
        <w:t xml:space="preserve"> </w:t>
      </w:r>
      <w:r>
        <w:rPr>
          <w:rFonts w:cs="Book Antiqua" w:ascii="Book Antiqua" w:hAnsi="Book Antiqua"/>
          <w:sz w:val="20"/>
          <w:szCs w:val="20"/>
        </w:rPr>
        <w:t>sales of property improvements or integral equipment with the concurrent lease (whether explicit or implicit in the transaction) of the underlying land to the buyer. Those transactions should be accounted for in accordance with paragraphs 38 and 39 of Statement 66. In addition, sales of property improvements or integral equipment subject to an existing lease of the underlying land are also subject to the provisions of Statement 66.</w:t>
      </w:r>
    </w:p>
    <w:p>
      <w:pPr>
        <w:pStyle w:val="Normal"/>
        <w:rPr>
          <w:rFonts w:ascii="Book Antiqua" w:hAnsi="Book Antiqua" w:cs="Book Antiqua"/>
        </w:rPr>
      </w:pPr>
      <w:r>
        <w:rPr>
          <w:rFonts w:cs="Book Antiqua" w:ascii="Book Antiqua" w:hAnsi="Book Antiqua"/>
        </w:rPr>
        <w:t>Paragraphs 38 and 39 are intended to address the situation in which the seller of the improvements is also the lessor of the land, in which case the terms of the sale and lease are presumed to be related. They state:</w:t>
      </w:r>
    </w:p>
    <w:p>
      <w:pPr>
        <w:pStyle w:val="Normal"/>
        <w:ind w:start="720" w:end="0"/>
        <w:rPr>
          <w:rFonts w:ascii="Book Antiqua" w:hAnsi="Book Antiqua" w:cs="Book Antiqua"/>
          <w:sz w:val="20"/>
          <w:szCs w:val="20"/>
        </w:rPr>
      </w:pPr>
      <w:r>
        <w:rPr>
          <w:rFonts w:cs="Book Antiqua" w:ascii="Book Antiqua" w:hAnsi="Book Antiqua"/>
          <w:sz w:val="20"/>
          <w:szCs w:val="20"/>
        </w:rPr>
        <w:t>38. The seller sells property improvements and leases the underlying land to the buyer of the improvements. In these circumstances, the transactions are interdependent and it is impracticable to distinguish between profits on the sale of the improvements and profits under the related lease. The transaction shall be accounted for as a lease of both the land and improvements if the term of the land lease to the buyer from the seller of the improvements either (a) does not cover substantially all of the economic life of the property improvements, thus strongly implying that the transaction is in substance a lease of both land and improvements, or (b) is not for a substantial period, for example, 20 years.</w:t>
      </w:r>
    </w:p>
    <w:p>
      <w:pPr>
        <w:pStyle w:val="Normal"/>
        <w:ind w:start="720" w:end="0"/>
        <w:rPr/>
      </w:pPr>
      <w:r>
        <w:rPr>
          <w:rFonts w:cs="Book Antiqua" w:ascii="Book Antiqua" w:hAnsi="Book Antiqua"/>
          <w:sz w:val="20"/>
          <w:szCs w:val="20"/>
        </w:rPr>
        <w:t>39. If the land lease described in paragraph 38 covers substantially all of the economic life of the improvements and extends for at least 20 years, the profit to be recognized on the sale of the improvements at the time of sale shall be (a) the present value of the rental payments</w:t>
      </w:r>
      <w:r>
        <w:rPr>
          <w:rFonts w:cs="Book Antiqua" w:ascii="Book Antiqua" w:hAnsi="Book Antiqua"/>
          <w:sz w:val="20"/>
          <w:szCs w:val="20"/>
          <w:vertAlign w:val="superscript"/>
        </w:rPr>
        <w:t>15</w:t>
      </w:r>
      <w:r>
        <w:rPr>
          <w:rFonts w:cs="Book Antiqua" w:ascii="Book Antiqua" w:hAnsi="Book Antiqua"/>
          <w:sz w:val="20"/>
          <w:szCs w:val="20"/>
        </w:rPr>
        <w:t xml:space="preserve"> not in excess of the seller's cost of the land plus (b) the sales value of the improvements minus (c) the carrying value of the improvements and the land. Profit on (1) the buyer's rental payments on the land in excess of the seller's cost of the land and (2) the rent to be received on the land after the maturity of the primary indebtedness on the improvements or other customary amortization term shall be recognized when the land is sold or the rents in excess of the seller's cost of the land are accrued under the lease. Calculations of profit in those circumstances are illustrated in paragraphs 82 and 83.</w:t>
      </w:r>
    </w:p>
    <w:p>
      <w:pPr>
        <w:pStyle w:val="Normal"/>
        <w:ind w:start="2160" w:end="0"/>
        <w:rPr/>
      </w:pPr>
      <w:r>
        <w:rPr>
          <w:rFonts w:cs="Book Antiqua" w:ascii="Book Antiqua" w:hAnsi="Book Antiqua"/>
          <w:sz w:val="20"/>
          <w:szCs w:val="20"/>
          <w:vertAlign w:val="superscript"/>
        </w:rPr>
        <w:t>15</w:t>
      </w:r>
      <w:r>
        <w:rPr>
          <w:rFonts w:cs="Book Antiqua" w:ascii="Book Antiqua" w:hAnsi="Book Antiqua"/>
          <w:sz w:val="20"/>
          <w:szCs w:val="20"/>
        </w:rPr>
        <w:t xml:space="preserve"> The present value of the specified rental payments is the present value of the lease payments specified in the lease over the term of the primary indebtedness, if any, on the improvements, or over the customary amortization term of primary debt instruments on the type of improvements involved. The present value is computed at an interest rate appropriate for (a) primary debt if the lease is not subordinated or (b) secondary debt if the lease is subordinated to loans with prior liens.</w:t>
      </w:r>
    </w:p>
    <w:p>
      <w:pPr>
        <w:pStyle w:val="Normal"/>
        <w:rPr>
          <w:rFonts w:ascii="Book Antiqua" w:hAnsi="Book Antiqua" w:cs="Book Antiqua"/>
        </w:rPr>
      </w:pPr>
      <w:r>
        <w:rPr>
          <w:rFonts w:cs="Book Antiqua" w:ascii="Book Antiqua" w:hAnsi="Book Antiqua"/>
        </w:rPr>
        <w:t>Profit may be recognized on the sale of the integral equipment, computed in accordance with paragraph 39, if the land lease from the seller of the integral equipment:</w:t>
      </w:r>
    </w:p>
    <w:p>
      <w:pPr>
        <w:pStyle w:val="Normal"/>
        <w:ind w:start="720" w:end="0"/>
        <w:rPr/>
      </w:pPr>
      <w:r>
        <w:rPr/>
        <w:t xml:space="preserve">1. </w:t>
      </w:r>
      <w:r>
        <w:rPr>
          <w:rFonts w:cs="Book Antiqua" w:ascii="Book Antiqua" w:hAnsi="Book Antiqua"/>
        </w:rPr>
        <w:t>Covers substantially all of the economic life of the integral equipment; and</w:t>
      </w:r>
      <w:r>
        <w:rPr/>
        <w:br/>
        <w:t xml:space="preserve">2. </w:t>
      </w:r>
      <w:r>
        <w:rPr>
          <w:rFonts w:cs="Book Antiqua" w:ascii="Book Antiqua" w:hAnsi="Book Antiqua"/>
        </w:rPr>
        <w:t xml:space="preserve">Extends for at least 20 years. </w:t>
      </w:r>
    </w:p>
    <w:p>
      <w:pPr>
        <w:pStyle w:val="Normal"/>
        <w:rPr>
          <w:rFonts w:ascii="Book Antiqua" w:hAnsi="Book Antiqua" w:cs="Book Antiqua"/>
        </w:rPr>
      </w:pPr>
      <w:r>
        <w:rPr>
          <w:rFonts w:cs="Book Antiqua" w:ascii="Book Antiqua" w:hAnsi="Book Antiqua"/>
        </w:rPr>
        <w:t>The effect of this accounting at the date of sale is:</w:t>
      </w:r>
    </w:p>
    <w:p>
      <w:pPr>
        <w:pStyle w:val="Normal"/>
        <w:numPr>
          <w:ilvl w:val="0"/>
          <w:numId w:val="2"/>
        </w:numPr>
        <w:spacing w:before="100" w:after="100"/>
        <w:rPr/>
      </w:pPr>
      <w:r>
        <w:rPr>
          <w:rFonts w:cs="Book Antiqua" w:ascii="Book Antiqua" w:hAnsi="Book Antiqua"/>
        </w:rPr>
        <w:t>No consideration is given to any profit on the land lease to the extent that the present value of land lease payments over the customary term of indebtedness on the improvements exceeds the cost of the land. This additional profit is recognized as the lease payments accrue;</w:t>
      </w:r>
    </w:p>
    <w:p>
      <w:pPr>
        <w:pStyle w:val="Normal"/>
        <w:numPr>
          <w:ilvl w:val="0"/>
          <w:numId w:val="17"/>
        </w:numPr>
        <w:spacing w:before="100" w:after="100"/>
        <w:rPr/>
      </w:pPr>
      <w:r>
        <w:rPr>
          <w:rFonts w:cs="Book Antiqua" w:ascii="Book Antiqua" w:hAnsi="Book Antiqua"/>
        </w:rPr>
        <w:t>Book value of the land is considered in calculating profit; and</w:t>
      </w:r>
    </w:p>
    <w:p>
      <w:pPr>
        <w:pStyle w:val="Normal"/>
        <w:numPr>
          <w:ilvl w:val="0"/>
          <w:numId w:val="7"/>
        </w:numPr>
        <w:spacing w:before="100" w:after="100"/>
        <w:rPr/>
      </w:pPr>
      <w:r>
        <w:rPr>
          <w:rFonts w:cs="Book Antiqua" w:ascii="Book Antiqua" w:hAnsi="Book Antiqua"/>
        </w:rPr>
        <w:t>Rental payments up to the book value of the land are considered as sales value.</w:t>
      </w:r>
    </w:p>
    <w:p>
      <w:pPr>
        <w:pStyle w:val="Normal"/>
        <w:rPr/>
      </w:pPr>
      <w:r>
        <w:rPr>
          <w:rFonts w:cs="Book Antiqua" w:ascii="Book Antiqua" w:hAnsi="Book Antiqua"/>
        </w:rPr>
        <w:t>The objective is to recognize a conservative amount of profit. If rent is too high, profit is limited. If rent is too low, the gain on the improvement sale is reduced.</w:t>
      </w:r>
      <w:r>
        <w:rPr/>
        <w:br/>
        <w:br/>
      </w:r>
      <w:r>
        <w:rPr>
          <w:rFonts w:cs="Book Antiqua" w:ascii="Book Antiqua" w:hAnsi="Book Antiqua"/>
        </w:rPr>
        <w:t xml:space="preserve">When the seller is also the lessee rather than the owner of the underlying land, we believe that it is still appropriate to follow the guidance in paragraphs 38 and 39 of Statement 66 modified only to substitute the present value of the seller/lessee's lease payments for the cost of the land. However, the FASB staff presently believes that a separate component of the arrangement's consideration would have to be assigned to the land element on a fair value basis. The difference between the fair value of the land component in the IRU transaction and the cost of the land easement obtained by the seller would be recognized over the IRU term. This matter is still to be resolved. </w:t>
      </w:r>
      <w:r>
        <w:rPr/>
        <w:br/>
        <w:br/>
      </w:r>
      <w:r>
        <w:rPr>
          <w:rFonts w:cs="Book Antiqua" w:ascii="Book Antiqua" w:hAnsi="Book Antiqua"/>
          <w:b/>
          <w:bCs/>
          <w:i/>
          <w:iCs/>
        </w:rPr>
        <w:t>Application of Paragraphs 38 and 39 of Statement 66</w:t>
      </w:r>
      <w:r>
        <w:rPr/>
        <w:br/>
        <w:br/>
      </w:r>
      <w:r>
        <w:rPr>
          <w:rFonts w:cs="Book Antiqua" w:ascii="Book Antiqua" w:hAnsi="Book Antiqua"/>
        </w:rPr>
        <w:t>At the November 15/16 1999 Global Capacity Providers CFO Roundtable, Eric Casey of the SEC staff also referred to this area:</w:t>
      </w:r>
    </w:p>
    <w:p>
      <w:pPr>
        <w:pStyle w:val="Normal"/>
        <w:ind w:start="720" w:end="0"/>
        <w:rPr/>
      </w:pPr>
      <w:r>
        <w:rPr>
          <w:rFonts w:cs="Book Antiqua" w:ascii="Book Antiqua" w:hAnsi="Book Antiqua"/>
          <w:sz w:val="20"/>
          <w:szCs w:val="20"/>
        </w:rPr>
        <w:t xml:space="preserve">The next area I would like to comment on is Statement 66 </w:t>
      </w:r>
      <w:r>
        <w:rPr>
          <w:color w:val="0000FF"/>
        </w:rPr>
        <w:drawing>
          <wp:inline distT="0" distB="0" distL="0" distR="0">
            <wp:extent cx="114300" cy="133350"/>
            <wp:effectExtent l="0" t="0" r="0" b="0"/>
            <wp:docPr id="53" name="Image52" descr="" title="">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2" descr="" title="">
                      <a:hlinkClick r:id="rId108"/>
                    </pic:cNvPr>
                    <pic:cNvPicPr>
                      <a:picLocks noChangeAspect="1" noChangeArrowheads="1"/>
                    </pic:cNvPicPr>
                  </pic:nvPicPr>
                  <pic:blipFill>
                    <a:blip r:embed="rId10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 xml:space="preserve">. I am aware that practice is considering the applicability of paragraphs 38 and 39 </w:t>
      </w:r>
      <w:r>
        <w:rPr>
          <w:color w:val="0000FF"/>
        </w:rPr>
        <w:drawing>
          <wp:inline distT="0" distB="0" distL="0" distR="0">
            <wp:extent cx="114300" cy="133350"/>
            <wp:effectExtent l="0" t="0" r="0" b="0"/>
            <wp:docPr id="54" name="Image53" descr="" title="">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3" descr="" title="">
                      <a:hlinkClick r:id="rId110"/>
                    </pic:cNvPr>
                    <pic:cNvPicPr>
                      <a:picLocks noChangeAspect="1" noChangeArrowheads="1"/>
                    </pic:cNvPicPr>
                  </pic:nvPicPr>
                  <pic:blipFill>
                    <a:blip r:embed="rId10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of Statement 66 to transactions where the capacity provider is not the owner of the underlying land. In the hypothetical transaction that I am aware of, the capacity provider leases the underlying land (through easements, right-of-way agreements, and the like) for a term of 20 years or more. The provider then enters into capacity contracts accounted for as leases with terms equal to substantially all of the economic life of the fiber and coterminous with the underlying land leases. The capacity provider proposes to bifurcate the purchaser's payments between the implicit right to use the land, the right to use the conduit, and the right to use the fiber. Assuming the fiber is integral equipment, the capacity provider proposes accounting for the bifurcated fiber component as a sales-type lease by including a provision in the contract allowing for transfer of title at the end of the contract term for a nominal fee.</w:t>
      </w:r>
    </w:p>
    <w:p>
      <w:pPr>
        <w:pStyle w:val="Normal"/>
        <w:ind w:start="720" w:end="0"/>
        <w:rPr/>
      </w:pPr>
      <w:r>
        <w:rPr>
          <w:rFonts w:cs="Book Antiqua" w:ascii="Book Antiqua" w:hAnsi="Book Antiqua"/>
          <w:sz w:val="20"/>
          <w:szCs w:val="20"/>
        </w:rPr>
        <w:t xml:space="preserve">The staff has not seen this hypothetical transaction in a live fact pattern. However, I have a number of observations regarding the hypothetical transaction and the proposed analogy to Statement 66. First, it appears a second related analogy, consistent with the first, would be that Statement 98 </w:t>
      </w:r>
      <w:r>
        <w:rPr>
          <w:color w:val="0000FF"/>
        </w:rPr>
        <w:drawing>
          <wp:inline distT="0" distB="0" distL="0" distR="0">
            <wp:extent cx="114300" cy="133350"/>
            <wp:effectExtent l="0" t="0" r="0" b="0"/>
            <wp:docPr id="55" name="Image54" descr="" title="">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4" descr="" title="">
                      <a:hlinkClick r:id="rId112"/>
                    </pic:cNvPr>
                    <pic:cNvPicPr>
                      <a:picLocks noChangeAspect="1" noChangeArrowheads="1"/>
                    </pic:cNvPicPr>
                  </pic:nvPicPr>
                  <pic:blipFill>
                    <a:blip r:embed="rId11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 xml:space="preserve">and FIN 43 </w:t>
      </w:r>
      <w:r>
        <w:rPr>
          <w:color w:val="0000FF"/>
        </w:rPr>
        <w:drawing>
          <wp:inline distT="0" distB="0" distL="0" distR="0">
            <wp:extent cx="114300" cy="133350"/>
            <wp:effectExtent l="0" t="0" r="0" b="0"/>
            <wp:docPr id="56" name="Image55" descr="" title="">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5" descr="" title="">
                      <a:hlinkClick r:id="rId114"/>
                    </pic:cNvPr>
                    <pic:cNvPicPr>
                      <a:picLocks noChangeAspect="1" noChangeArrowheads="1"/>
                    </pic:cNvPicPr>
                  </pic:nvPicPr>
                  <pic:blipFill>
                    <a:blip r:embed="rId11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provide that sales-type leases of integral equipment with a concurrent sublease of the underlying land, are subject to all of the provisions of Statement 66, not just paragraphs 38 and 39. An implication of this second analogy is that Statement 66 precludes sale accounting where the seller has retained substantial risks and rewards of ownership relative to the property being sold. It is not clear to me what the capacity provider's contractual or other legal obligations are to the underlying landowners relative to the fiber, conduit, and landing or relay stations when the easements and right-of-way agreements expire, if any. For example, would the capacity provider be obligated to remove the cable, conduit, and landing or relay stations? If so, the capacity provider may have retained substantial risks and rewards of ownership and sales-type lease accounting for the fiber may not be appropriate.</w:t>
      </w:r>
    </w:p>
    <w:p>
      <w:pPr>
        <w:pStyle w:val="Normal"/>
        <w:rPr/>
      </w:pPr>
      <w:r>
        <w:rPr>
          <w:rFonts w:cs="Book Antiqua" w:ascii="Book Antiqua" w:hAnsi="Book Antiqua"/>
        </w:rPr>
        <w:t xml:space="preserve">Where the lessor is also the lessee of the underlying land under a right-of-way, or similar, agreement with a land owner it is also necessary to consider the effect of the existence of that agreement on the ability of the lessor to transfer good legal title to the integral equipment situated on the underlying land. The determination of what constitutes good legal title is a legal issue. We have been told that if the lessor does not have the ability under a right-of-way agreement to assign or transfer their access rights to the land to a third party then it may not be possible as a matter of law for the lessor to transfer legal title to the integral equipment which is on the land. </w:t>
      </w:r>
      <w:r>
        <w:rPr/>
        <w:br/>
        <w:br/>
      </w:r>
      <w:r>
        <w:rPr>
          <w:rFonts w:cs="Book Antiqua" w:ascii="Book Antiqua" w:hAnsi="Book Antiqua"/>
        </w:rPr>
        <w:t>Regardless of the legal issue discussed above, we believe that if the lessor is obligated to transfer ownership of the fiber and conduit at the end of the lease term for nominal consideration (and otherwise meets the conditions for sale accounting in Statement 66), the transaction should be accounted for as a sales-type lease provided that the end of the lease coincides with the expiration of the land access right. In such a situation, the network provider has no continuing involvement with the land after the term of the lease of the fiber and conduit and is obligated to transfer title to the fiber and conduit for nominal consideration. Accordingly, we believe the condition in Statement 66 for transfer of title would be met.</w:t>
      </w:r>
      <w:r>
        <w:rPr/>
        <w:br/>
        <w:br/>
      </w:r>
      <w:r>
        <w:rPr>
          <w:rFonts w:cs="Book Antiqua" w:ascii="Book Antiqua" w:hAnsi="Book Antiqua"/>
          <w:b/>
          <w:bCs/>
          <w:highlight w:val="yellow"/>
        </w:rPr>
        <w:t>2.D.3.5. Fair Value of the Leased Asset</w:t>
      </w:r>
      <w:r>
        <w:rPr>
          <w:highlight w:val="yellow"/>
        </w:rPr>
        <w:br/>
        <w:br/>
      </w:r>
      <w:r>
        <w:rPr>
          <w:rFonts w:cs="Book Antiqua" w:ascii="Book Antiqua" w:hAnsi="Book Antiqua"/>
          <w:highlight w:val="yellow"/>
        </w:rPr>
        <w:t xml:space="preserve">In order to qualify for sales-type lease classification (whether the lease involves integral equipment or not) where the asset forms part of a larger whole, paragraph 28 </w:t>
      </w:r>
      <w:r>
        <w:rPr>
          <w:color w:val="0000FF"/>
          <w:highlight w:val="yellow"/>
        </w:rPr>
        <w:drawing>
          <wp:inline distT="0" distB="0" distL="0" distR="0">
            <wp:extent cx="114300" cy="133350"/>
            <wp:effectExtent l="0" t="0" r="0" b="0"/>
            <wp:docPr id="57" name="Image56" descr="" titl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6" descr="" title="">
                      <a:hlinkClick r:id="rId116"/>
                    </pic:cNvPr>
                    <pic:cNvPicPr>
                      <a:picLocks noChangeAspect="1" noChangeArrowheads="1"/>
                    </pic:cNvPicPr>
                  </pic:nvPicPr>
                  <pic:blipFill>
                    <a:blip r:embed="rId11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of Statement 13 requires that the lessor be able to objectively determine both the fair value of the leased asset and the cost of that asset. Unless both the cost and the fair value are objectively determinable, a lessor should account for the lease as an operating lease.</w:t>
      </w:r>
      <w:r>
        <w:rPr>
          <w:highlight w:val="yellow"/>
        </w:rPr>
        <w:br/>
        <w:br/>
      </w:r>
      <w:r>
        <w:rPr>
          <w:rFonts w:cs="Book Antiqua" w:ascii="Book Antiqua" w:hAnsi="Book Antiqua"/>
          <w:highlight w:val="yellow"/>
        </w:rPr>
        <w:t>Evidence of fair value would be provided by evidence of what the cash payment would be for an IRU for the entire economic useful life of the capacity being provided. This evidence may be available from other transactions executed by the network provider or by other network providers who are making available similar capacity to the market place.</w:t>
      </w:r>
      <w:r>
        <w:rPr/>
        <w:br/>
        <w:br/>
      </w:r>
      <w:r>
        <w:rPr>
          <w:rFonts w:cs="Book Antiqua" w:ascii="Book Antiqua" w:hAnsi="Book Antiqua"/>
          <w:b/>
          <w:bCs/>
        </w:rPr>
        <w:t>2.D.4. Operating Leases</w:t>
      </w:r>
      <w:r>
        <w:rPr/>
        <w:br/>
        <w:br/>
      </w:r>
      <w:r>
        <w:rPr>
          <w:rFonts w:cs="Book Antiqua" w:ascii="Book Antiqua" w:hAnsi="Book Antiqua"/>
        </w:rPr>
        <w:t>If an agreement is appropriately classified as a lease but it is not a sales-type lease, it would be likely be an operating lease as far as the capacity provider is concerned.</w:t>
      </w:r>
      <w:r>
        <w:rPr/>
        <w:br/>
        <w:br/>
      </w:r>
      <w:r>
        <w:rPr>
          <w:rFonts w:cs="Book Antiqua" w:ascii="Book Antiqua" w:hAnsi="Book Antiqua"/>
        </w:rPr>
        <w:t xml:space="preserve">Paragraph 19(b) </w:t>
      </w:r>
      <w:r>
        <w:rPr>
          <w:color w:val="0000FF"/>
        </w:rPr>
        <w:drawing>
          <wp:inline distT="0" distB="0" distL="0" distR="0">
            <wp:extent cx="114300" cy="133350"/>
            <wp:effectExtent l="0" t="0" r="0" b="0"/>
            <wp:docPr id="58" name="Image57" descr="" titl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7" descr="" title="">
                      <a:hlinkClick r:id="rId118"/>
                    </pic:cNvPr>
                    <pic:cNvPicPr>
                      <a:picLocks noChangeAspect="1" noChangeArrowheads="1"/>
                    </pic:cNvPicPr>
                  </pic:nvPicPr>
                  <pic:blipFill>
                    <a:blip r:embed="rId11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requires a lessor to report lease income over the lease term as it becomes receivable according to the provisions of the lease. If the rental income varies from a straight-line basis, the revenue should be recognized on a straight-line basis unless another more systematic and rational basis is more representative of the time pattern in which use benefit from the leased property is diminished, in which case that basis should be used.</w:t>
      </w:r>
      <w:r>
        <w:rPr/>
        <w:br/>
        <w:br/>
      </w:r>
      <w:r>
        <w:rPr>
          <w:rFonts w:cs="Book Antiqua" w:ascii="Book Antiqua" w:hAnsi="Book Antiqua"/>
        </w:rPr>
        <w:t>We are not aware of any fact pattern that would result in the use of any method other than a straight-line recognition of operating lease revenue over the term of an IRU.</w:t>
      </w:r>
      <w:r>
        <w:rPr/>
        <w:br/>
        <w:br/>
      </w:r>
      <w:r>
        <w:rPr>
          <w:rFonts w:cs="Book Antiqua" w:ascii="Book Antiqua" w:hAnsi="Book Antiqua"/>
          <w:b/>
          <w:bCs/>
        </w:rPr>
        <w:t>2.D.5. Other Services</w:t>
      </w:r>
      <w:r>
        <w:rPr/>
        <w:br/>
        <w:br/>
      </w:r>
      <w:r>
        <w:rPr>
          <w:rFonts w:cs="Book Antiqua" w:ascii="Book Antiqua" w:hAnsi="Book Antiqua"/>
        </w:rPr>
        <w:t>When other services, such as operational, administration or maintenance services, are provided to the customer whether or not they are separately priced, it is necessary to determine the fair value of each of the component services and to allocate total revenues based on the relative fair values. This fair value will normally be determined by reference to the market price for each product or service if supplied on a stand-alone basis.</w:t>
      </w:r>
      <w:r>
        <w:rPr/>
        <w:br/>
        <w:br/>
      </w:r>
      <w:r>
        <w:rPr>
          <w:rFonts w:cs="Book Antiqua" w:ascii="Book Antiqua" w:hAnsi="Book Antiqua"/>
        </w:rPr>
        <w:t xml:space="preserve">In the case of network capacity, typically a network provider will undertake to maintain the cable in return for some additional payment. The customer may have to enter into such an agreement as a condition of the agreement to provide capacity. Even if the lease and the maintenance contract are separate agreements with defined revenue streams attributable to each, they will have been negotiated as a package. The network capacity provider will need to assess carefully the allocation of total revenue to be received under the contract or contracts between their various elements. Even if the contracts are separate, the payments to the provider by the customer will not necessarily represent fair value for the maintenance service and the network capacity provider will need to be satisfied that the amount of revenue to be attributed to the maintenance service does represent fair value for that service. </w:t>
      </w:r>
      <w:r>
        <w:rPr/>
        <w:br/>
        <w:br/>
      </w:r>
      <w:r>
        <w:rPr>
          <w:rFonts w:cs="Book Antiqua" w:ascii="Book Antiqua" w:hAnsi="Book Antiqua"/>
        </w:rPr>
        <w:t>If the fair value of the total package of capacity and services to be provided are known but the fair values of the individual components need to be computed, the question arises as to which of the following approaches to adopt (assuming only two components):</w:t>
      </w:r>
    </w:p>
    <w:p>
      <w:pPr>
        <w:pStyle w:val="Normal"/>
        <w:ind w:start="720" w:end="0"/>
        <w:rPr/>
      </w:pPr>
      <w:r>
        <w:rPr/>
        <w:t xml:space="preserve">1. </w:t>
      </w:r>
      <w:r>
        <w:rPr>
          <w:rFonts w:cs="Book Antiqua" w:ascii="Book Antiqua" w:hAnsi="Book Antiqua"/>
        </w:rPr>
        <w:t>Estimate the fair value of one component and deduct that amount from total fair value to arrive at the fair value of the remaining element; or</w:t>
      </w:r>
      <w:r>
        <w:rPr/>
        <w:t xml:space="preserve"> </w:t>
      </w:r>
    </w:p>
    <w:p>
      <w:pPr>
        <w:pStyle w:val="NormalWeb"/>
        <w:spacing w:before="0" w:after="0"/>
        <w:ind w:start="720" w:end="0"/>
        <w:rPr/>
      </w:pPr>
      <w:r>
        <w:rPr/>
        <w:t xml:space="preserve">2. </w:t>
      </w:r>
      <w:r>
        <w:rPr>
          <w:rFonts w:cs="Book Antiqua" w:ascii="Book Antiqua" w:hAnsi="Book Antiqua"/>
        </w:rPr>
        <w:t>Estimate the fair value of both components and allocate the total fair value in proportion to the respective fair values.</w:t>
      </w:r>
    </w:p>
    <w:p>
      <w:pPr>
        <w:pStyle w:val="Normal"/>
        <w:rPr/>
      </w:pPr>
      <w:r>
        <w:rPr>
          <w:rFonts w:cs="Book Antiqua" w:ascii="Book Antiqua" w:hAnsi="Book Antiqua"/>
        </w:rPr>
        <w:t xml:space="preserve">Generally, the Firm supports the latter approach. </w:t>
      </w:r>
      <w:r>
        <w:rPr/>
        <w:br/>
        <w:br/>
      </w:r>
      <w:r>
        <w:rPr>
          <w:rFonts w:cs="Book Antiqua" w:ascii="Book Antiqua" w:hAnsi="Book Antiqua"/>
        </w:rPr>
        <w:t>Some network capacity contracts include provision for the restoration of capacity if the dedicated capacity becomes unavailable so that the purchaser can continue to provide service to its customers. We believe that the provision of such restoration capacity is an additional service which should be accounted for separately from any lease of capacity.</w:t>
      </w:r>
      <w:r>
        <w:rPr/>
        <w:br/>
        <w:br/>
        <w:br/>
        <w:br/>
      </w:r>
      <w:r>
        <w:rPr>
          <w:rFonts w:cs="Book Antiqua" w:ascii="Book Antiqua" w:hAnsi="Book Antiqua"/>
          <w:b/>
          <w:bCs/>
        </w:rPr>
        <w:t>3. Expenses</w:t>
      </w:r>
      <w:r>
        <w:rPr/>
        <w:br/>
        <w:br/>
      </w:r>
      <w:r>
        <w:rPr>
          <w:rFonts w:cs="Book Antiqua" w:ascii="Book Antiqua" w:hAnsi="Book Antiqua"/>
          <w:b/>
          <w:bCs/>
        </w:rPr>
        <w:t>3.A. Cost of Services for Service Transactions and Operating Leases</w:t>
      </w:r>
      <w:r>
        <w:rPr/>
        <w:br/>
        <w:br/>
      </w:r>
      <w:r>
        <w:rPr>
          <w:rFonts w:cs="Book Antiqua" w:ascii="Book Antiqua" w:hAnsi="Book Antiqua"/>
        </w:rPr>
        <w:t xml:space="preserve">The 1978 Invitation to Comment, </w:t>
      </w:r>
      <w:r>
        <w:rPr>
          <w:rFonts w:cs="Book Antiqua" w:ascii="Book Antiqua" w:hAnsi="Book Antiqua"/>
          <w:i/>
          <w:iCs/>
        </w:rPr>
        <w:t xml:space="preserve">Accounting for Certain Service Transactions, </w:t>
      </w:r>
      <w:r>
        <w:rPr>
          <w:rFonts w:cs="Book Antiqua" w:ascii="Book Antiqua" w:hAnsi="Book Antiqua"/>
        </w:rPr>
        <w:t xml:space="preserve">proposed that, since revenue recognition under the proportional performance method is related to performance achieved, direct and indirect costs should be charged to expense as incurred. However, initial direct costs should be deferred and allocated over the term of service performance in proportion to the recognition of service revenue (see Section 3.C </w:t>
      </w:r>
      <w:r>
        <w:rPr>
          <w:color w:val="0000FF"/>
        </w:rPr>
        <w:drawing>
          <wp:inline distT="0" distB="0" distL="0" distR="0">
            <wp:extent cx="114300" cy="133350"/>
            <wp:effectExtent l="0" t="0" r="0" b="0"/>
            <wp:docPr id="59" name="Image58" descr="" title="">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8" descr="" title="">
                      <a:hlinkClick r:id="rId120"/>
                    </pic:cNvPr>
                    <pic:cNvPicPr>
                      <a:picLocks noChangeAspect="1" noChangeArrowheads="1"/>
                    </pic:cNvPicPr>
                  </pic:nvPicPr>
                  <pic:blipFill>
                    <a:blip r:embed="rId11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for a discussion of initial direct costs).</w:t>
      </w:r>
      <w:r>
        <w:rPr/>
        <w:br/>
        <w:br/>
        <w:br/>
        <w:br/>
      </w:r>
      <w:r>
        <w:rPr>
          <w:rFonts w:cs="Book Antiqua" w:ascii="Book Antiqua" w:hAnsi="Book Antiqua"/>
          <w:b/>
          <w:bCs/>
        </w:rPr>
        <w:t>3.B. Cost of Sales for Sales-Type Leases</w:t>
      </w:r>
      <w:r>
        <w:rPr/>
        <w:br/>
        <w:br/>
      </w:r>
      <w:r>
        <w:rPr>
          <w:rFonts w:cs="Book Antiqua" w:ascii="Book Antiqua" w:hAnsi="Book Antiqua"/>
        </w:rPr>
        <w:t xml:space="preserve">Statement 13 </w:t>
      </w:r>
      <w:r>
        <w:rPr>
          <w:color w:val="0000FF"/>
        </w:rPr>
        <w:drawing>
          <wp:inline distT="0" distB="0" distL="0" distR="0">
            <wp:extent cx="114300" cy="133350"/>
            <wp:effectExtent l="0" t="0" r="0" b="0"/>
            <wp:docPr id="60" name="Image59" descr="" title="">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9" descr="" title="">
                      <a:hlinkClick r:id="rId122"/>
                    </pic:cNvPr>
                    <pic:cNvPicPr>
                      <a:picLocks noChangeAspect="1" noChangeArrowheads="1"/>
                    </pic:cNvPicPr>
                  </pic:nvPicPr>
                  <pic:blipFill>
                    <a:blip r:embed="rId12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requires that the carrying amount of the leased asset (less the present value of its estimated unguaranteed residual value at the end of the lease term) be charged to income in the period the sale is recognized. A critical issue is therefore the allocation of costs to individual circuit, so that when an individual circuit is sold under a sales-type lease, the cost of that sale can be identified. Where the leased asset represents part of a whole, sales-type lease classification would be prohibited unless the cost can be objectively determined.</w:t>
      </w:r>
      <w:r>
        <w:rPr/>
        <w:br/>
        <w:br/>
      </w:r>
      <w:r>
        <w:rPr>
          <w:rFonts w:cs="Book Antiqua" w:ascii="Book Antiqua" w:hAnsi="Book Antiqua"/>
          <w:b/>
          <w:bCs/>
        </w:rPr>
        <w:t>3.B.1. Where the Asset Is Not Being Depreciated Prior to "Sale"</w:t>
      </w:r>
      <w:r>
        <w:rPr/>
        <w:br/>
        <w:br/>
      </w:r>
      <w:r>
        <w:rPr>
          <w:rFonts w:cs="Book Antiqua" w:ascii="Book Antiqua" w:hAnsi="Book Antiqua"/>
        </w:rPr>
        <w:t xml:space="preserve">Under FASB Statement of Financial Accounting Standards No. 121, </w:t>
      </w:r>
      <w:r>
        <w:rPr>
          <w:rFonts w:cs="Book Antiqua" w:ascii="Book Antiqua" w:hAnsi="Book Antiqua"/>
          <w:i/>
          <w:iCs/>
        </w:rPr>
        <w:t>Accounting for the Impairment of Long-Lived Assets and for Long-Lived Assets to Be Disposed Of</w:t>
      </w:r>
      <w:r>
        <w:rPr>
          <w:rFonts w:cs="Book Antiqua" w:ascii="Book Antiqua" w:hAnsi="Book Antiqua"/>
        </w:rPr>
        <w:t xml:space="preserve">, (Statement 121 </w:t>
      </w:r>
      <w:r>
        <w:rPr>
          <w:color w:val="0000FF"/>
        </w:rPr>
        <w:drawing>
          <wp:inline distT="0" distB="0" distL="0" distR="0">
            <wp:extent cx="114300" cy="133350"/>
            <wp:effectExtent l="0" t="0" r="0" b="0"/>
            <wp:docPr id="61" name="Image60" descr="" title="">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0" descr="" title="">
                      <a:hlinkClick r:id="rId124"/>
                    </pic:cNvPr>
                    <pic:cNvPicPr>
                      <a:picLocks noChangeAspect="1" noChangeArrowheads="1"/>
                    </pic:cNvPicPr>
                  </pic:nvPicPr>
                  <pic:blipFill>
                    <a:blip r:embed="rId12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if an asset is classified as held for sale, it should not be depreciated but should be carried at the lower of carrying amount and fair value less cost to sell (see Section 3.D </w:t>
      </w:r>
      <w:r>
        <w:rPr>
          <w:color w:val="0000FF"/>
        </w:rPr>
        <w:drawing>
          <wp:inline distT="0" distB="0" distL="0" distR="0">
            <wp:extent cx="114300" cy="133350"/>
            <wp:effectExtent l="0" t="0" r="0" b="0"/>
            <wp:docPr id="62" name="Image61" descr="" title="">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1" descr="" title="">
                      <a:hlinkClick r:id="rId126"/>
                    </pic:cNvPr>
                    <pic:cNvPicPr>
                      <a:picLocks noChangeAspect="1" noChangeArrowheads="1"/>
                    </pic:cNvPicPr>
                  </pic:nvPicPr>
                  <pic:blipFill>
                    <a:blip r:embed="rId12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for a discussion of when classification as held for sale may be appropriate).</w:t>
      </w:r>
      <w:r>
        <w:rPr/>
        <w:br/>
        <w:br/>
      </w:r>
      <w:r>
        <w:rPr>
          <w:rFonts w:cs="Book Antiqua" w:ascii="Book Antiqua" w:hAnsi="Book Antiqua"/>
        </w:rPr>
        <w:t xml:space="preserve">When an asset is not being depreciated because it is held for sale, we believe that an inventory model in which cost is allocated equally to each fiber is not acceptable unless all the units of capacity are expected to be sold within a short period of time. An approach which simply allocates costs based on the number of units of capacity available for sale would not take into account the fact that the service potential of a unit of capacity diminishes over time so that, other things being equal, a customer would pay more for a unit of capacity with a life of 15 years than for a unit of identical capacity with a shorter remaining life. </w:t>
      </w:r>
      <w:r>
        <w:rPr/>
        <w:br/>
        <w:br/>
      </w:r>
      <w:r>
        <w:rPr>
          <w:rFonts w:cs="Book Antiqua" w:ascii="Book Antiqua" w:hAnsi="Book Antiqua"/>
        </w:rPr>
        <w:t>One acceptable approach is to allocate costs to individual units of capacity based on an estimate of the aggregate "capacity years" to be sold.</w:t>
      </w:r>
      <w:r>
        <w:rPr/>
        <w:br/>
        <w:br/>
      </w:r>
      <w:r>
        <w:rPr>
          <w:rFonts w:cs="Book Antiqua" w:ascii="Book Antiqua" w:hAnsi="Book Antiqua"/>
        </w:rPr>
        <w:t>The following is an example of the "capacity years" method for a system with four units of capacity where the system has an expected useful life of 10 years. Assume that:</w:t>
      </w:r>
    </w:p>
    <w:p>
      <w:pPr>
        <w:pStyle w:val="Normal"/>
        <w:ind w:start="720" w:end="0"/>
        <w:rPr/>
      </w:pPr>
      <w:r>
        <w:rPr/>
        <w:t xml:space="preserve">1. </w:t>
      </w:r>
      <w:r>
        <w:rPr>
          <w:rFonts w:cs="Book Antiqua" w:ascii="Book Antiqua" w:hAnsi="Book Antiqua"/>
        </w:rPr>
        <w:t>Two units are expected to be sold in year 1 (10 capacity years for each unit);</w:t>
      </w:r>
      <w:r>
        <w:rPr/>
        <w:br/>
        <w:t xml:space="preserve">2. </w:t>
      </w:r>
      <w:r>
        <w:rPr>
          <w:rFonts w:cs="Book Antiqua" w:ascii="Book Antiqua" w:hAnsi="Book Antiqua"/>
        </w:rPr>
        <w:t>One unit is expected to be sold in year 2 (nine capacity years); and</w:t>
      </w:r>
      <w:r>
        <w:rPr/>
        <w:br/>
        <w:t xml:space="preserve">3. </w:t>
      </w:r>
      <w:r>
        <w:rPr>
          <w:rFonts w:cs="Book Antiqua" w:ascii="Book Antiqua" w:hAnsi="Book Antiqua"/>
        </w:rPr>
        <w:t>The final unit is expected to be sold in year 4 (six capacity years).</w:t>
      </w:r>
    </w:p>
    <w:p>
      <w:pPr>
        <w:pStyle w:val="Normal"/>
        <w:rPr/>
      </w:pPr>
      <w:r>
        <w:rPr>
          <w:rFonts w:cs="Book Antiqua" w:ascii="Book Antiqua" w:hAnsi="Book Antiqua"/>
        </w:rPr>
        <w:t>Total system costs are $1 million.</w:t>
      </w:r>
      <w:r>
        <w:rPr/>
        <w:br/>
        <w:br/>
      </w:r>
      <w:r>
        <w:rPr>
          <w:rFonts w:cs="Book Antiqua" w:ascii="Book Antiqua" w:hAnsi="Book Antiqua"/>
        </w:rPr>
        <w:t>The total number of capacity years expected to sold is 35 (10 + 10 + 9 + 6). The cost allocated to each of the four units would be as follows. The units sold in year 1 have an allocated cost of $286,000 each (10/35 x $1 million). The unit sold year 2 has an allocated cost of $257,000 (9/35 x $1 million). The unit sold in year 4 has an allocated cost of $171,000 (6/35 x $1 million). Changes in the estimate of total capacity years that will be sold would be accounted by prospectively adjusting the amount allocated to cost of goods sold.</w:t>
      </w:r>
      <w:r>
        <w:rPr/>
        <w:br/>
        <w:br/>
      </w:r>
      <w:r>
        <w:rPr>
          <w:rFonts w:cs="Book Antiqua" w:ascii="Book Antiqua" w:hAnsi="Book Antiqua"/>
        </w:rPr>
        <w:t>Another acceptable approach would be to allocate costs in proportion to expected revenues. The "expected revenue" method would compute the amount charged to cost of sales based on the ratio of revenues in the current period to total expected system revenues over the life of the system multiplied by the total costs incurred to construct the system. To the extent that prices are expected to decline in future periods, such a policy will result in a higher cost of sales per unit in the earlier years.</w:t>
      </w:r>
      <w:r>
        <w:rPr/>
        <w:br/>
        <w:br/>
      </w:r>
      <w:r>
        <w:rPr>
          <w:rFonts w:cs="Book Antiqua" w:ascii="Book Antiqua" w:hAnsi="Book Antiqua"/>
        </w:rPr>
        <w:t>The degree of estimation and judgement involved in such an approach means that, where the forecasts cover an extended period, it likely could only be accepted as reasonable where the assumptions and estimates are reviewed by an independent third party expert knowledgeable of the industry.</w:t>
      </w:r>
      <w:r>
        <w:rPr/>
        <w:br/>
        <w:br/>
      </w:r>
      <w:r>
        <w:rPr>
          <w:rFonts w:cs="Book Antiqua" w:ascii="Book Antiqua" w:hAnsi="Book Antiqua"/>
        </w:rPr>
        <w:t xml:space="preserve">If components of network capacity meet the definition of real estate or integral equipment then it would be necessary to consider the provisions of FASB Statement of Financial Accounting Standards No. 67, </w:t>
      </w:r>
      <w:r>
        <w:rPr>
          <w:rFonts w:cs="Book Antiqua" w:ascii="Book Antiqua" w:hAnsi="Book Antiqua"/>
          <w:i/>
          <w:iCs/>
        </w:rPr>
        <w:t>Accounting for Costs and Initial Rental Operations of Real Estate Projects</w:t>
      </w:r>
      <w:r>
        <w:rPr>
          <w:rFonts w:cs="Book Antiqua" w:ascii="Book Antiqua" w:hAnsi="Book Antiqua"/>
        </w:rPr>
        <w:t xml:space="preserve">, (Statement 67 </w:t>
      </w:r>
      <w:r>
        <w:rPr>
          <w:color w:val="0000FF"/>
        </w:rPr>
        <w:drawing>
          <wp:inline distT="0" distB="0" distL="0" distR="0">
            <wp:extent cx="114300" cy="133350"/>
            <wp:effectExtent l="0" t="0" r="0" b="0"/>
            <wp:docPr id="63" name="Image62" descr="" title="">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2" descr="" title="">
                      <a:hlinkClick r:id="rId128"/>
                    </pic:cNvPr>
                    <pic:cNvPicPr>
                      <a:picLocks noChangeAspect="1" noChangeArrowheads="1"/>
                    </pic:cNvPicPr>
                  </pic:nvPicPr>
                  <pic:blipFill>
                    <a:blip r:embed="rId12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This provides that:</w:t>
      </w:r>
    </w:p>
    <w:p>
      <w:pPr>
        <w:pStyle w:val="Normal"/>
        <w:ind w:start="720" w:end="0"/>
        <w:rPr/>
      </w:pPr>
      <w:r>
        <w:rPr/>
        <w:t xml:space="preserve">1. </w:t>
      </w:r>
      <w:r>
        <w:rPr>
          <w:rFonts w:cs="Book Antiqua" w:ascii="Book Antiqua" w:hAnsi="Book Antiqua"/>
        </w:rPr>
        <w:t xml:space="preserve">The capitalized costs of real estate projects should be assigned to individual components of the project based on specific identification; </w:t>
      </w:r>
    </w:p>
    <w:p>
      <w:pPr>
        <w:pStyle w:val="NormalWeb"/>
        <w:spacing w:before="0" w:after="0"/>
        <w:ind w:start="720" w:end="0"/>
        <w:rPr/>
      </w:pPr>
      <w:r>
        <w:rPr/>
        <w:t xml:space="preserve">2. </w:t>
      </w:r>
      <w:r>
        <w:rPr>
          <w:rFonts w:cs="Book Antiqua" w:ascii="Book Antiqua" w:hAnsi="Book Antiqua"/>
        </w:rPr>
        <w:t>If specific identification is not practicable, construction costs should be allocated to individual units in the phase based on the relative sales value of each unit (i.e., the "expected revenue" method discussed above); and</w:t>
      </w:r>
      <w:r>
        <w:rPr/>
        <w:t xml:space="preserve"> </w:t>
      </w:r>
    </w:p>
    <w:p>
      <w:pPr>
        <w:pStyle w:val="NormalWeb"/>
        <w:spacing w:before="0" w:after="0"/>
        <w:ind w:start="720" w:end="0"/>
        <w:rPr/>
      </w:pPr>
      <w:r>
        <w:rPr/>
        <w:t xml:space="preserve">3. </w:t>
      </w:r>
      <w:r>
        <w:rPr>
          <w:rFonts w:cs="Book Antiqua" w:ascii="Book Antiqua" w:hAnsi="Book Antiqua"/>
        </w:rPr>
        <w:t>If allocation based on relative value also is impracticable (for example, because there is insufficient reliable evidence as to future sales prices), construction costs should be allocated based on area methods or other value methods as appropriate (e.g., the "capacity years" method as discussed above).</w:t>
      </w:r>
    </w:p>
    <w:p>
      <w:pPr>
        <w:pStyle w:val="Normal"/>
        <w:rPr/>
      </w:pPr>
      <w:r>
        <w:rPr>
          <w:rFonts w:cs="Book Antiqua" w:ascii="Book Antiqua" w:hAnsi="Book Antiqua"/>
          <w:b/>
          <w:bCs/>
        </w:rPr>
        <w:t>3.B.2. Where the Asset Is Being Depreciated Prior to "Sale"</w:t>
      </w:r>
      <w:r>
        <w:rPr/>
        <w:br/>
        <w:br/>
      </w:r>
      <w:r>
        <w:rPr>
          <w:rFonts w:cs="Book Antiqua" w:ascii="Book Antiqua" w:hAnsi="Book Antiqua"/>
        </w:rPr>
        <w:t xml:space="preserve">Where the asset is being depreciated prior to sale (because it cannot be classified under Statement 121 </w:t>
      </w:r>
      <w:r>
        <w:rPr>
          <w:color w:val="0000FF"/>
        </w:rPr>
        <w:drawing>
          <wp:inline distT="0" distB="0" distL="0" distR="0">
            <wp:extent cx="114300" cy="133350"/>
            <wp:effectExtent l="0" t="0" r="0" b="0"/>
            <wp:docPr id="64" name="Image63" descr="" title="">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3" descr="" title="">
                      <a:hlinkClick r:id="rId130"/>
                    </pic:cNvPr>
                    <pic:cNvPicPr>
                      <a:picLocks noChangeAspect="1" noChangeArrowheads="1"/>
                    </pic:cNvPicPr>
                  </pic:nvPicPr>
                  <pic:blipFill>
                    <a:blip r:embed="rId12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as an asset held for resale – see Section 3.D </w:t>
      </w:r>
      <w:r>
        <w:rPr>
          <w:color w:val="0000FF"/>
        </w:rPr>
        <w:drawing>
          <wp:inline distT="0" distB="0" distL="0" distR="0">
            <wp:extent cx="114300" cy="133350"/>
            <wp:effectExtent l="0" t="0" r="0" b="0"/>
            <wp:docPr id="65" name="Image64" descr="" title="">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4" descr="" title="">
                      <a:hlinkClick r:id="rId132"/>
                    </pic:cNvPr>
                    <pic:cNvPicPr>
                      <a:picLocks noChangeAspect="1" noChangeArrowheads="1"/>
                    </pic:cNvPicPr>
                  </pic:nvPicPr>
                  <pic:blipFill>
                    <a:blip r:embed="rId13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we believe that a model in which depreciated cost is allocated equally to each fiber is acceptable because it produces an effect is similar to that demonstrated in the "capacity years model" above.</w:t>
      </w:r>
      <w:r>
        <w:rPr/>
        <w:br/>
        <w:br/>
      </w:r>
      <w:r>
        <w:rPr>
          <w:rFonts w:cs="Book Antiqua" w:ascii="Book Antiqua" w:hAnsi="Book Antiqua"/>
        </w:rPr>
        <w:t>The following is an example of this approach: The system has an expected useful life of 10 years. Units are sold as follows: two units in year 2, one unit in year 3 and the final unit in year 4.</w:t>
      </w:r>
      <w:r>
        <w:rPr/>
        <w:br/>
        <w:br/>
      </w:r>
      <w:r>
        <w:rPr>
          <w:rFonts w:cs="Book Antiqua" w:ascii="Book Antiqua" w:hAnsi="Book Antiqua"/>
        </w:rPr>
        <w:t>Total system costs are $1 million. At the beginning of year 2, the total depreciated cost would be $900,000 ($1,000,000 less one year's depreciation of $100,000 ($1,000,000/10 years)). Fifty percent of this ($450,000) would be allocated as cost of sales to year 2 sales.</w:t>
      </w:r>
      <w:r>
        <w:rPr/>
        <w:br/>
        <w:br/>
      </w:r>
      <w:r>
        <w:rPr>
          <w:rFonts w:cs="Book Antiqua" w:ascii="Book Antiqua" w:hAnsi="Book Antiqua"/>
        </w:rPr>
        <w:t>At the beginning of year 3, depreciated cost would be $400,000 ($500,000 less two years' depreciation of $100,000 ($500,000/10 years x 2)). 50% (or $200,000) would be allocated to year 3 sales. At the beginning of year 4, depreciated cost would be $175,000 ($250,000 less three years' depreciation of $75,000 ($250,000/10 years x 3)), which would be allocated to year 4 sales.</w:t>
      </w:r>
      <w:r>
        <w:rPr/>
        <w:br/>
        <w:br/>
      </w:r>
      <w:r>
        <w:rPr>
          <w:rFonts w:cs="Book Antiqua" w:ascii="Book Antiqua" w:hAnsi="Book Antiqua"/>
          <w:b/>
          <w:bCs/>
        </w:rPr>
        <w:t>3.B.3. Upgrades</w:t>
      </w:r>
      <w:r>
        <w:rPr/>
        <w:br/>
        <w:br/>
      </w:r>
      <w:r>
        <w:rPr>
          <w:rFonts w:cs="Book Antiqua" w:ascii="Book Antiqua" w:hAnsi="Book Antiqua"/>
        </w:rPr>
        <w:t>Some systems providers have plans to increase the total capacity of a specific system by upgrading the equipment that controls the fiber optic cables. In such situations, a question arises as to whether the system provider should include some or all such possible upgrades in its estimate of the aggregate amount of capacity that will ultimately be sold on that specific system. Because the incremental cost of the upgrade is normally expected to be fairly small when compared to the cost to build the base system, the inclusion of such upgrades in the computation of cost of goods sold can significantly lower the amounts charged to cost of goods sold in the early years of the system.</w:t>
      </w:r>
      <w:r>
        <w:rPr/>
        <w:br/>
        <w:br/>
      </w:r>
      <w:r>
        <w:rPr>
          <w:rFonts w:cs="Book Antiqua" w:ascii="Book Antiqua" w:hAnsi="Book Antiqua"/>
        </w:rPr>
        <w:t>We believe that companies must meet a fairly high burden of proof in order to consider the effect of upgrades when computing cost of goods sold. We have analyzed this issue by looking to the intent and ability of the system provider. Specifically,</w:t>
      </w:r>
    </w:p>
    <w:p>
      <w:pPr>
        <w:pStyle w:val="Normal"/>
        <w:ind w:start="720" w:end="0"/>
        <w:rPr/>
      </w:pPr>
      <w:r>
        <w:rPr/>
        <w:t xml:space="preserve">1. </w:t>
      </w:r>
      <w:r>
        <w:rPr>
          <w:rFonts w:cs="Book Antiqua" w:ascii="Book Antiqua" w:hAnsi="Book Antiqua"/>
        </w:rPr>
        <w:t>Does the entity have the intent to complete the upgrade? This involves evidence of the level of commitment by the company to carry out the upgrade and the level of evidence of market demand for the additional capacity. For example, was the system constructed in a way to allow for ease of upgrade? (The cost of the base system is normally increased when the base system is designed to be easily upgraded.) Has the board of directors authorized the system upgrade? Have commitments been made to vendors for upgrading the system? Is the demand for the additional capacity supported by the opinion of industry experts?</w:t>
      </w:r>
      <w:r>
        <w:rPr/>
        <w:t xml:space="preserve"> </w:t>
      </w:r>
    </w:p>
    <w:p>
      <w:pPr>
        <w:pStyle w:val="NormalWeb"/>
        <w:spacing w:before="0" w:after="0"/>
        <w:ind w:start="720" w:end="0"/>
        <w:rPr/>
      </w:pPr>
      <w:r>
        <w:rPr/>
        <w:t xml:space="preserve">2. </w:t>
      </w:r>
      <w:r>
        <w:rPr>
          <w:rFonts w:cs="Book Antiqua" w:ascii="Book Antiqua" w:hAnsi="Book Antiqua"/>
        </w:rPr>
        <w:t>If so, does the entity have the ability to complete the upgrade? This involves consideration of whether the entity has the financial resources available (such as committed lines of credit), whether any regulatory approvals are required, and whether the technology to effect the upgrade is currently available.</w:t>
      </w:r>
    </w:p>
    <w:p>
      <w:pPr>
        <w:pStyle w:val="Normal"/>
        <w:rPr/>
      </w:pPr>
      <w:r>
        <w:rPr/>
        <w:br/>
        <w:br/>
        <w:br/>
      </w:r>
      <w:r>
        <w:rPr>
          <w:rFonts w:cs="Book Antiqua" w:ascii="Book Antiqua" w:hAnsi="Book Antiqua"/>
          <w:b/>
          <w:bCs/>
        </w:rPr>
        <w:t>3.C. Initial Direct Costs - Service Contracts and Leases</w:t>
      </w:r>
      <w:r>
        <w:rPr/>
        <w:br/>
        <w:br/>
      </w:r>
      <w:r>
        <w:rPr>
          <w:rFonts w:cs="Book Antiqua" w:ascii="Book Antiqua" w:hAnsi="Book Antiqua"/>
        </w:rPr>
        <w:t xml:space="preserve">Initial direct costs are those costs incurred by the network provider that are directly associated with completed IRU transactions. They include commissions, legal fees, and other costs associated with negotiating and consummating completed leasing transactions, but exclude supervisory, administrative and other indirect expenses such as advertising, soliciting potential lessees, and rent and facilities costs. FASB Statement of Financial Accounting Standards No. 91, </w:t>
      </w:r>
      <w:r>
        <w:rPr>
          <w:rFonts w:cs="Book Antiqua" w:ascii="Book Antiqua" w:hAnsi="Book Antiqua"/>
          <w:i/>
          <w:iCs/>
        </w:rPr>
        <w:t>Accounting for Nonrefundable Fees and Costs Associated with Originating or Acquiring Loans and Initial Direct Costs of Leases</w:t>
      </w:r>
      <w:r>
        <w:rPr>
          <w:rFonts w:cs="Book Antiqua" w:ascii="Book Antiqua" w:hAnsi="Book Antiqua"/>
        </w:rPr>
        <w:t xml:space="preserve">, (Statement 91 </w:t>
      </w:r>
      <w:r>
        <w:rPr>
          <w:color w:val="0000FF"/>
        </w:rPr>
        <w:drawing>
          <wp:inline distT="0" distB="0" distL="0" distR="0">
            <wp:extent cx="114300" cy="133350"/>
            <wp:effectExtent l="0" t="0" r="0" b="0"/>
            <wp:docPr id="66" name="Image65" descr="" title="">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5" descr="" title="">
                      <a:hlinkClick r:id="rId134"/>
                    </pic:cNvPr>
                    <pic:cNvPicPr>
                      <a:picLocks noChangeAspect="1" noChangeArrowheads="1"/>
                    </pic:cNvPicPr>
                  </pic:nvPicPr>
                  <pic:blipFill>
                    <a:blip r:embed="rId13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is the authoritative source for the definition of initial direct costs. That definition of initial direct costs applies to lessors (Statement 91 amended Statement 13 </w:t>
      </w:r>
      <w:r>
        <w:rPr>
          <w:color w:val="0000FF"/>
        </w:rPr>
        <w:drawing>
          <wp:inline distT="0" distB="0" distL="0" distR="0">
            <wp:extent cx="114300" cy="133350"/>
            <wp:effectExtent l="0" t="0" r="0" b="0"/>
            <wp:docPr id="67" name="Image66" descr="" title="">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6" descr="" title="">
                      <a:hlinkClick r:id="rId136"/>
                    </pic:cNvPr>
                    <pic:cNvPicPr>
                      <a:picLocks noChangeAspect="1" noChangeArrowheads="1"/>
                    </pic:cNvPicPr>
                  </pic:nvPicPr>
                  <pic:blipFill>
                    <a:blip r:embed="rId13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and to providers of services under long-term service contracts (TB 90-1 </w:t>
      </w:r>
      <w:r>
        <w:rPr>
          <w:color w:val="0000FF"/>
        </w:rPr>
        <w:drawing>
          <wp:inline distT="0" distB="0" distL="0" distR="0">
            <wp:extent cx="114300" cy="133350"/>
            <wp:effectExtent l="0" t="0" r="0" b="0"/>
            <wp:docPr id="68" name="Image67" descr="" title="">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7" descr="" title="">
                      <a:hlinkClick r:id="rId138"/>
                    </pic:cNvPr>
                    <pic:cNvPicPr>
                      <a:picLocks noChangeAspect="1" noChangeArrowheads="1"/>
                    </pic:cNvPicPr>
                  </pic:nvPicPr>
                  <pic:blipFill>
                    <a:blip r:embed="rId13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addresses initial direct costs of service contracts and uses the model in Statement 91 to determine which costs should be deferred and amortized). The FASB staff implementation guide on Statement 91 provides more detailed guidance on the determination of initial direct costs.</w:t>
      </w:r>
      <w:r>
        <w:rPr/>
        <w:br/>
        <w:br/>
      </w:r>
      <w:r>
        <w:rPr>
          <w:rFonts w:cs="Book Antiqua" w:ascii="Book Antiqua" w:hAnsi="Book Antiqua"/>
        </w:rPr>
        <w:t xml:space="preserve">Capacity providers should also be aware that AICPA Statement of Position 98-5, </w:t>
      </w:r>
      <w:r>
        <w:rPr>
          <w:rFonts w:cs="Book Antiqua" w:ascii="Book Antiqua" w:hAnsi="Book Antiqua"/>
          <w:i/>
          <w:iCs/>
        </w:rPr>
        <w:t>Reporting on the Costs of Start-Up Activities,</w:t>
      </w:r>
      <w:r>
        <w:rPr>
          <w:rFonts w:cs="Book Antiqua" w:ascii="Book Antiqua" w:hAnsi="Book Antiqua"/>
        </w:rPr>
        <w:t xml:space="preserve"> (SOP 98-5 </w:t>
      </w:r>
      <w:r>
        <w:rPr>
          <w:color w:val="0000FF"/>
        </w:rPr>
        <w:drawing>
          <wp:inline distT="0" distB="0" distL="0" distR="0">
            <wp:extent cx="114300" cy="133350"/>
            <wp:effectExtent l="0" t="0" r="0" b="0"/>
            <wp:docPr id="69" name="Image68" descr="" title="">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8" descr="" title="">
                      <a:hlinkClick r:id="rId140"/>
                    </pic:cNvPr>
                    <pic:cNvPicPr>
                      <a:picLocks noChangeAspect="1" noChangeArrowheads="1"/>
                    </pic:cNvPicPr>
                  </pic:nvPicPr>
                  <pic:blipFill>
                    <a:blip r:embed="rId13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is effective for fiscal years beginning after December 15, 1998. SOP 98-5 concludes that all start-up costs should be expensed as incurred. It broadly defines start-up activities as follows:</w:t>
      </w:r>
    </w:p>
    <w:p>
      <w:pPr>
        <w:pStyle w:val="Normal"/>
        <w:ind w:start="720" w:end="0"/>
        <w:rPr/>
      </w:pPr>
      <w:r>
        <w:rPr>
          <w:rFonts w:cs="Book Antiqua" w:ascii="Book Antiqua" w:hAnsi="Book Antiqua"/>
          <w:sz w:val="20"/>
          <w:szCs w:val="20"/>
        </w:rPr>
        <w:t>those one-time activities related to opening a new facility, introducing a new product or service, conducting business in a new territory, conducting business with a new class of customer or beneficiary initiating a new process in an existing facility, or commencing some new operation.</w:t>
      </w:r>
      <w:r>
        <w:rPr/>
        <w:t xml:space="preserve"> </w:t>
      </w:r>
    </w:p>
    <w:p>
      <w:pPr>
        <w:pStyle w:val="Normal"/>
        <w:rPr/>
      </w:pPr>
      <w:r>
        <w:rPr>
          <w:rFonts w:cs="Book Antiqua" w:ascii="Book Antiqua" w:hAnsi="Book Antiqua"/>
        </w:rPr>
        <w:t xml:space="preserve">Accordingly, costs such as the cost of hiring and training personnel who will be performing the services under the contract are the costs of start-up activities. The deferral of such costs is not permitted once SOP 98-5 is adopted by the entity. Initial direct costs for sales-type leases should be charged to income in the period in which the sale is recorded. </w:t>
      </w:r>
      <w:r>
        <w:rPr/>
        <w:br/>
        <w:br/>
      </w:r>
      <w:r>
        <w:rPr>
          <w:rFonts w:cs="Book Antiqua" w:ascii="Book Antiqua" w:hAnsi="Book Antiqua"/>
        </w:rPr>
        <w:t>Initial direct costs for service contracts, and operating and direct finance leases should be deferred and recognized over the lease term in proportion to the recognized revenue.</w:t>
      </w:r>
      <w:r>
        <w:rPr/>
        <w:br/>
        <w:br/>
        <w:br/>
        <w:br/>
      </w:r>
      <w:r>
        <w:rPr>
          <w:rFonts w:cs="Book Antiqua" w:ascii="Book Antiqua" w:hAnsi="Book Antiqua"/>
          <w:b/>
          <w:bCs/>
        </w:rPr>
        <w:t>3.D. Depreciation</w:t>
      </w:r>
      <w:r>
        <w:rPr/>
        <w:br/>
        <w:br/>
      </w:r>
      <w:r>
        <w:rPr>
          <w:rFonts w:cs="Book Antiqua" w:ascii="Book Antiqua" w:hAnsi="Book Antiqua"/>
        </w:rPr>
        <w:t>Where network related assets are leased to a purchaser under an operating lease, the assets will be depreciated over their useful economic life. This useful life needs to be assessed separately for each type of asset involved, e.g. conduit, fiber, and electronic equipment.</w:t>
      </w:r>
      <w:r>
        <w:rPr/>
        <w:br/>
        <w:br/>
      </w:r>
      <w:r>
        <w:rPr>
          <w:rFonts w:cs="Book Antiqua" w:ascii="Book Antiqua" w:hAnsi="Book Antiqua"/>
        </w:rPr>
        <w:t>At present, many providers of network capacity estimate that the economic life of the cable will not exceed 25 years but often believe that the economic life may be shorter than that. In the case of undersea cables, the SEC staff has not questioned the assertion that the life is not beyond 25 years. Based on the rapid pace of technological change in this industry, we believe network providers should frequently reassess their estimate of the economic useful lives of the networks. It appears currently that the economic useful life of the cable normally should not be estimated to exceed 10 to 15 years. Other network related assets may have shorter lives.</w:t>
      </w:r>
      <w:r>
        <w:rPr/>
        <w:br/>
        <w:br/>
      </w:r>
      <w:r>
        <w:rPr>
          <w:rFonts w:cs="Book Antiqua" w:ascii="Book Antiqua" w:hAnsi="Book Antiqua"/>
        </w:rPr>
        <w:t xml:space="preserve">Under Statement 121, assets held for disposal should be carried at the lower of (a) fair value less costs to sell and (b) carrying amount. Paragraph 16 </w:t>
      </w:r>
      <w:r>
        <w:rPr>
          <w:color w:val="0000FF"/>
        </w:rPr>
        <w:drawing>
          <wp:inline distT="0" distB="0" distL="0" distR="0">
            <wp:extent cx="114300" cy="133350"/>
            <wp:effectExtent l="0" t="0" r="0" b="0"/>
            <wp:docPr id="70" name="Image69" descr="" title="">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9" descr="" title="">
                      <a:hlinkClick r:id="rId142"/>
                    </pic:cNvPr>
                    <pic:cNvPicPr>
                      <a:picLocks noChangeAspect="1" noChangeArrowheads="1"/>
                    </pic:cNvPicPr>
                  </pic:nvPicPr>
                  <pic:blipFill>
                    <a:blip r:embed="rId14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121 requires that those assets should not be depreciated while they are held for disposal.</w:t>
      </w:r>
      <w:r>
        <w:rPr/>
        <w:br/>
        <w:br/>
      </w:r>
      <w:r>
        <w:rPr>
          <w:rFonts w:cs="Book Antiqua" w:ascii="Book Antiqua" w:hAnsi="Book Antiqua"/>
        </w:rPr>
        <w:t xml:space="preserve">Statement 121 requires that, in order for an asset to be classified as held for disposal, management with the appropriate authority should have committed to a plan to dispose of the asset. The SEC staff believe that registrants should have regard to the analogous criteria in APB Opinion No. 30, </w:t>
      </w:r>
      <w:r>
        <w:rPr>
          <w:rFonts w:cs="Book Antiqua" w:ascii="Book Antiqua" w:hAnsi="Book Antiqua"/>
          <w:i/>
          <w:iCs/>
        </w:rPr>
        <w:t xml:space="preserve">Reporting the Results of Operations-Reporting the Effects of Disposal of a Segment of a Business, and Extraordinary, Unusual and Infrequently Occurring Events and Transactions </w:t>
      </w:r>
      <w:r>
        <w:rPr>
          <w:color w:val="0000FF"/>
        </w:rPr>
        <w:drawing>
          <wp:inline distT="0" distB="0" distL="0" distR="0">
            <wp:extent cx="114300" cy="133350"/>
            <wp:effectExtent l="0" t="0" r="0" b="0"/>
            <wp:docPr id="71" name="Image70" descr="" title="">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0" descr="" title="">
                      <a:hlinkClick r:id="rId144"/>
                    </pic:cNvPr>
                    <pic:cNvPicPr>
                      <a:picLocks noChangeAspect="1" noChangeArrowheads="1"/>
                    </pic:cNvPicPr>
                  </pic:nvPicPr>
                  <pic:blipFill>
                    <a:blip r:embed="rId14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and EITF Issue No. 94-3, </w:t>
      </w:r>
      <w:r>
        <w:rPr>
          <w:rFonts w:cs="Book Antiqua" w:ascii="Book Antiqua" w:hAnsi="Book Antiqua"/>
          <w:i/>
          <w:iCs/>
        </w:rPr>
        <w:t>Liability Recognition for Certain Employee Termination Benefits and Other Costs to Exit an Activity (including Certain Costs Incurred in a Restructuring)</w:t>
      </w:r>
      <w:r>
        <w:rPr>
          <w:rFonts w:cs="Book Antiqua" w:ascii="Book Antiqua" w:hAnsi="Book Antiqua"/>
        </w:rPr>
        <w:t xml:space="preserve"> </w:t>
      </w:r>
      <w:r>
        <w:rPr>
          <w:color w:val="0000FF"/>
        </w:rPr>
        <w:drawing>
          <wp:inline distT="0" distB="0" distL="0" distR="0">
            <wp:extent cx="114300" cy="133350"/>
            <wp:effectExtent l="0" t="0" r="0" b="0"/>
            <wp:docPr id="72" name="Image71" descr="" title="">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1" descr="" title="">
                      <a:hlinkClick r:id="rId146"/>
                    </pic:cNvPr>
                    <pic:cNvPicPr>
                      <a:picLocks noChangeAspect="1" noChangeArrowheads="1"/>
                    </pic:cNvPicPr>
                  </pic:nvPicPr>
                  <pic:blipFill>
                    <a:blip r:embed="rId14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The criteria in those standards may be summarized as follows:</w:t>
      </w:r>
    </w:p>
    <w:p>
      <w:pPr>
        <w:pStyle w:val="Normal"/>
        <w:ind w:start="720" w:end="0"/>
        <w:rPr/>
      </w:pPr>
      <w:r>
        <w:rPr/>
        <w:t xml:space="preserve">1. </w:t>
      </w:r>
      <w:r>
        <w:rPr>
          <w:rFonts w:cs="Book Antiqua" w:ascii="Book Antiqua" w:hAnsi="Book Antiqua"/>
        </w:rPr>
        <w:t>Prior to the date of the financial statements, management with the appropriate level of authority approves and commits the enterprise to a formal plan of disposal, whether by sale or abandonment;</w:t>
      </w:r>
      <w:r>
        <w:rPr/>
        <w:t xml:space="preserve"> </w:t>
      </w:r>
    </w:p>
    <w:p>
      <w:pPr>
        <w:pStyle w:val="NormalWeb"/>
        <w:spacing w:before="0" w:after="0"/>
        <w:ind w:start="720" w:end="0"/>
        <w:rPr/>
      </w:pPr>
      <w:r>
        <w:rPr/>
        <w:t xml:space="preserve">2. </w:t>
      </w:r>
      <w:r>
        <w:rPr>
          <w:rFonts w:cs="Book Antiqua" w:ascii="Book Antiqua" w:hAnsi="Book Antiqua"/>
        </w:rPr>
        <w:t>The plan specifically identifies all major assets to be disposed of, significant actions to be taken to complete the plan – including the method of disposition and location of those activities – and the expected date of completion;</w:t>
      </w:r>
      <w:r>
        <w:rPr/>
        <w:t xml:space="preserve"> </w:t>
      </w:r>
    </w:p>
    <w:p>
      <w:pPr>
        <w:pStyle w:val="NormalWeb"/>
        <w:spacing w:before="0" w:after="0"/>
        <w:ind w:start="720" w:end="0"/>
        <w:rPr/>
      </w:pPr>
      <w:r>
        <w:rPr/>
        <w:t xml:space="preserve">3. </w:t>
      </w:r>
      <w:r>
        <w:rPr>
          <w:rFonts w:cs="Book Antiqua" w:ascii="Book Antiqua" w:hAnsi="Book Antiqua"/>
        </w:rPr>
        <w:t>The company has an active program to find a buyer if disposal is by sale;</w:t>
      </w:r>
      <w:r>
        <w:rPr/>
        <w:t xml:space="preserve"> </w:t>
      </w:r>
    </w:p>
    <w:p>
      <w:pPr>
        <w:pStyle w:val="NormalWeb"/>
        <w:spacing w:before="0" w:after="0"/>
        <w:ind w:start="720" w:end="0"/>
        <w:rPr/>
      </w:pPr>
      <w:r>
        <w:rPr/>
        <w:t xml:space="preserve">4. </w:t>
      </w:r>
      <w:r>
        <w:rPr>
          <w:rFonts w:cs="Book Antiqua" w:ascii="Book Antiqua" w:hAnsi="Book Antiqua"/>
        </w:rPr>
        <w:t xml:space="preserve">Management can estimate proceeds or salvage value it will realize by disposal; </w:t>
      </w:r>
    </w:p>
    <w:p>
      <w:pPr>
        <w:pStyle w:val="NormalWeb"/>
        <w:spacing w:before="0" w:after="0"/>
        <w:ind w:start="720" w:end="0"/>
        <w:rPr/>
      </w:pPr>
      <w:r>
        <w:rPr/>
        <w:t xml:space="preserve">5. </w:t>
      </w:r>
      <w:r>
        <w:rPr>
          <w:rFonts w:cs="Book Antiqua" w:ascii="Book Antiqua" w:hAnsi="Book Antiqua"/>
        </w:rPr>
        <w:t>Actions required by the plan will begin as soon as possible after the commitment date; and</w:t>
      </w:r>
      <w:r>
        <w:rPr/>
        <w:t xml:space="preserve"> </w:t>
      </w:r>
    </w:p>
    <w:p>
      <w:pPr>
        <w:pStyle w:val="NormalWeb"/>
        <w:spacing w:before="0" w:after="0"/>
        <w:ind w:start="720" w:end="0"/>
        <w:rPr/>
      </w:pPr>
      <w:r>
        <w:rPr/>
        <w:t xml:space="preserve">6. </w:t>
      </w:r>
      <w:r>
        <w:rPr>
          <w:rFonts w:cs="Book Antiqua" w:ascii="Book Antiqua" w:hAnsi="Book Antiqua"/>
        </w:rPr>
        <w:t xml:space="preserve">The period of time to complete the plan indicates that significant changes to the plan are not likely. </w:t>
      </w:r>
    </w:p>
    <w:p>
      <w:pPr>
        <w:pStyle w:val="Normal"/>
        <w:rPr>
          <w:highlight w:val="yellow"/>
        </w:rPr>
      </w:pPr>
      <w:r>
        <w:rPr>
          <w:rFonts w:cs="Book Antiqua" w:ascii="Book Antiqua" w:hAnsi="Book Antiqua"/>
        </w:rPr>
        <w:t>When a specific and identifiable component of a network has been held exclusively for sale – including through methods that are similar to outright sale such as sales-type leases – we believe that component should be classified as held for sale and not depreciated. But when providers make the capacity of a specific component, such as a cable from London to Paris or a given number of fibers on that cable, available to users under a variety of contracts, only some of which would be accounted for as sales, we believe the entire cost of that component should be depreciated because we do not believe it is any longer possible to identify which physical part of the component is held for sale and which is not.</w:t>
      </w:r>
      <w:r>
        <w:rPr/>
        <w:br/>
        <w:br/>
      </w:r>
      <w:r>
        <w:rPr>
          <w:rFonts w:cs="Book Antiqua" w:ascii="Book Antiqua" w:hAnsi="Book Antiqua"/>
        </w:rPr>
        <w:t>At present, we understand that network capacity is generally depreciated on a straight-line basis. However, accelerated depreciation methods may be appropriate in some circumstances given the way in which the selling price of capacity is expected to decline in real terms over its useful life.</w:t>
      </w:r>
      <w:r>
        <w:rPr/>
        <w:br/>
        <w:br/>
        <w:br/>
        <w:br/>
      </w:r>
      <w:r>
        <w:rPr>
          <w:rFonts w:cs="Book Antiqua" w:ascii="Book Antiqua" w:hAnsi="Book Antiqua"/>
          <w:b/>
          <w:bCs/>
        </w:rPr>
        <w:t>3.E. Closure Costs</w:t>
      </w:r>
      <w:r>
        <w:rPr/>
        <w:br/>
        <w:br/>
      </w:r>
      <w:r>
        <w:rPr>
          <w:rFonts w:cs="Book Antiqua" w:ascii="Book Antiqua" w:hAnsi="Book Antiqua"/>
        </w:rPr>
        <w:t xml:space="preserve">If the provider has an obligation to remove the cable at the end of its life or otherwise to restore the ground to is condition prior to insertion of the cable, we believe that cost should be accrued. Under present GAAP, such a cost should be accrued over the useful life of an asset subject to a service contract or an operating lease. We believe the related pro rata amount of such a cost should be accrued as part of the cost of sales for capacity to be sold through sales-type leases. </w:t>
      </w:r>
      <w:r>
        <w:rPr/>
        <w:br/>
        <w:br/>
      </w:r>
      <w:r>
        <w:rPr>
          <w:rFonts w:cs="Book Antiqua" w:ascii="Book Antiqua" w:hAnsi="Book Antiqua"/>
        </w:rPr>
        <w:t xml:space="preserve">The FASB has issued an Exposure Draft of a proposed Statement, </w:t>
      </w:r>
      <w:r>
        <w:rPr>
          <w:rFonts w:cs="Book Antiqua" w:ascii="Book Antiqua" w:hAnsi="Book Antiqua"/>
          <w:i/>
          <w:iCs/>
        </w:rPr>
        <w:t>Accounting for Certain Liabilities Related to Closure or Removal of Long-Lived Assets</w:t>
      </w:r>
      <w:r>
        <w:rPr>
          <w:rFonts w:cs="Book Antiqua" w:ascii="Book Antiqua" w:hAnsi="Book Antiqua"/>
        </w:rPr>
        <w:t xml:space="preserve">. This proposed standard would affect the accounting for certain obligations to perform closure or removal activities at the end of the useful life of long-lived assets, including dismantlement, and site reclamation. It would require that the fair value of the obligation for such costs, typically arrived at by discounting the amount expected to be paid, should be accrued in full as part of the asset cost. </w:t>
      </w:r>
      <w:r>
        <w:rPr/>
        <w:br/>
        <w:br/>
        <w:br/>
        <w:br/>
      </w:r>
      <w:r>
        <w:rPr>
          <w:rFonts w:cs="Book Antiqua" w:ascii="Book Antiqua" w:hAnsi="Book Antiqua"/>
          <w:b/>
          <w:bCs/>
        </w:rPr>
        <w:t>4. Balance Sheet Presentation</w:t>
      </w:r>
      <w:r>
        <w:rPr/>
        <w:br/>
        <w:br/>
      </w:r>
      <w:r>
        <w:rPr>
          <w:rFonts w:cs="Book Antiqua" w:ascii="Book Antiqua" w:hAnsi="Book Antiqua"/>
          <w:b/>
          <w:bCs/>
        </w:rPr>
        <w:t>4.A. Network Is a Productive Asset</w:t>
      </w:r>
      <w:r>
        <w:rPr/>
        <w:br/>
        <w:br/>
      </w:r>
      <w:r>
        <w:rPr>
          <w:rFonts w:cs="Book Antiqua" w:ascii="Book Antiqua" w:hAnsi="Book Antiqua"/>
        </w:rPr>
        <w:t>If the network is being depreciated (because it does not meet the criteria as an asset held for sale), then in a classified balance sheet it should be should be shown within long term assets as property, plant, and equipment. The asset should not be classified as inventory.</w:t>
      </w:r>
      <w:r>
        <w:rPr/>
        <w:br/>
        <w:br/>
      </w:r>
      <w:r>
        <w:rPr>
          <w:rFonts w:cs="Book Antiqua" w:ascii="Book Antiqua" w:hAnsi="Book Antiqua"/>
          <w:b/>
          <w:bCs/>
        </w:rPr>
        <w:t>4.B. Network Is an Asset Held For Sale</w:t>
      </w:r>
      <w:r>
        <w:rPr/>
        <w:br/>
        <w:br/>
      </w:r>
      <w:r>
        <w:rPr>
          <w:rFonts w:cs="Book Antiqua" w:ascii="Book Antiqua" w:hAnsi="Book Antiqua"/>
        </w:rPr>
        <w:t>If the network meets the criteria of an asset held for sale, it should be described as such on the balance sheet. It would be shown within current assets if the entity expects to sell the asset within the next operating cycle. For most network capacity providers it will be more appropriate to show the asset as a non-current asset.</w:t>
      </w:r>
      <w:r>
        <w:rPr/>
        <w:br/>
        <w:br/>
        <w:br/>
        <w:br/>
      </w:r>
      <w:r>
        <w:rPr>
          <w:rFonts w:cs="Book Antiqua" w:ascii="Book Antiqua" w:hAnsi="Book Antiqua"/>
          <w:b/>
          <w:bCs/>
          <w:highlight w:val="yellow"/>
        </w:rPr>
        <w:t>5. Nonmonetary Exchanges</w:t>
      </w:r>
      <w:r>
        <w:rPr>
          <w:highlight w:val="yellow"/>
        </w:rPr>
        <w:br/>
        <w:br/>
      </w:r>
      <w:r>
        <w:rPr>
          <w:rFonts w:cs="Book Antiqua" w:ascii="Book Antiqua" w:hAnsi="Book Antiqua"/>
          <w:highlight w:val="yellow"/>
        </w:rPr>
        <w:t>A network provider may exchange network capacity with another network provider.</w:t>
      </w:r>
      <w:r>
        <w:rPr>
          <w:highlight w:val="yellow"/>
        </w:rPr>
        <w:br/>
        <w:br/>
      </w:r>
      <w:r>
        <w:rPr>
          <w:rFonts w:cs="Book Antiqua" w:ascii="Book Antiqua" w:hAnsi="Book Antiqua"/>
          <w:b/>
          <w:bCs/>
          <w:highlight w:val="yellow"/>
        </w:rPr>
        <w:t>5.A. Real Estate and Integral Equipment</w:t>
      </w:r>
      <w:r>
        <w:rPr>
          <w:highlight w:val="yellow"/>
        </w:rPr>
        <w:br/>
        <w:br/>
      </w:r>
      <w:r>
        <w:rPr>
          <w:rFonts w:cs="Book Antiqua" w:ascii="Book Antiqua" w:hAnsi="Book Antiqua"/>
          <w:highlight w:val="yellow"/>
        </w:rPr>
        <w:t xml:space="preserve">(Updated March 2001 </w:t>
      </w:r>
      <w:r>
        <w:rPr>
          <w:color w:val="0000FF"/>
          <w:highlight w:val="yellow"/>
        </w:rPr>
        <w:drawing>
          <wp:inline distT="0" distB="0" distL="0" distR="0">
            <wp:extent cx="114300" cy="133350"/>
            <wp:effectExtent l="0" t="0" r="0" b="0"/>
            <wp:docPr id="73" name="Image72" descr="" title="">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2" descr="" title="">
                      <a:hlinkClick r:id="rId148"/>
                    </pic:cNvPr>
                    <pic:cNvPicPr>
                      <a:picLocks noChangeAspect="1" noChangeArrowheads="1"/>
                    </pic:cNvPicPr>
                  </pic:nvPicPr>
                  <pic:blipFill>
                    <a:blip r:embed="rId14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w:t>
      </w:r>
      <w:r>
        <w:rPr>
          <w:highlight w:val="yellow"/>
        </w:rPr>
        <w:br/>
        <w:br/>
      </w:r>
      <w:r>
        <w:rPr>
          <w:rFonts w:cs="Book Antiqua" w:ascii="Book Antiqua" w:hAnsi="Book Antiqua"/>
          <w:highlight w:val="yellow"/>
        </w:rPr>
        <w:t xml:space="preserve">APB Opinion No. 29, </w:t>
      </w:r>
      <w:r>
        <w:rPr>
          <w:rFonts w:cs="Book Antiqua" w:ascii="Book Antiqua" w:hAnsi="Book Antiqua"/>
          <w:i/>
          <w:iCs/>
          <w:highlight w:val="yellow"/>
        </w:rPr>
        <w:t>Accounting for Nonmonetary Transactions</w:t>
      </w:r>
      <w:r>
        <w:rPr>
          <w:rFonts w:cs="Book Antiqua" w:ascii="Book Antiqua" w:hAnsi="Book Antiqua"/>
          <w:highlight w:val="yellow"/>
        </w:rPr>
        <w:t xml:space="preserve">, (Opinion 29 </w:t>
      </w:r>
      <w:r>
        <w:rPr>
          <w:color w:val="0000FF"/>
          <w:highlight w:val="yellow"/>
        </w:rPr>
        <w:drawing>
          <wp:inline distT="0" distB="0" distL="0" distR="0">
            <wp:extent cx="114300" cy="133350"/>
            <wp:effectExtent l="0" t="0" r="0" b="0"/>
            <wp:docPr id="74" name="Image73" descr="" title="">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3" descr="" title="">
                      <a:hlinkClick r:id="rId150"/>
                    </pic:cNvPr>
                    <pic:cNvPicPr>
                      <a:picLocks noChangeAspect="1" noChangeArrowheads="1"/>
                    </pic:cNvPicPr>
                  </pic:nvPicPr>
                  <pic:blipFill>
                    <a:blip r:embed="rId14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concludes that, in general, accounting for nonmonetary transactions should be based on the fair values of the assets or services exchanged. An exception to the general principle of recording an exchange at fair value occurs when the exchange is not essentially the culmination of the earnings process. The following two types of exchanges are viewed as not resulting in the culmination of the earnings process and therefore gain recognition is not allowed (however, losses would be recognized):</w:t>
      </w:r>
    </w:p>
    <w:p>
      <w:pPr>
        <w:pStyle w:val="Normal"/>
        <w:ind w:start="720" w:end="0"/>
        <w:rPr/>
      </w:pPr>
      <w:r>
        <w:rPr>
          <w:highlight w:val="yellow"/>
        </w:rPr>
        <w:t xml:space="preserve">1. </w:t>
      </w:r>
      <w:r>
        <w:rPr>
          <w:rFonts w:cs="Book Antiqua" w:ascii="Book Antiqua" w:hAnsi="Book Antiqua"/>
          <w:highlight w:val="yellow"/>
        </w:rPr>
        <w:t>An exchange of a product or property held for sale in the ordinary course of business for a product or property to be sold in the same line of business to facilitate sales to customers other than the parties to the exchange; and</w:t>
      </w:r>
      <w:r>
        <w:rPr>
          <w:highlight w:val="yellow"/>
        </w:rPr>
        <w:t xml:space="preserve"> </w:t>
      </w:r>
    </w:p>
    <w:p>
      <w:pPr>
        <w:pStyle w:val="NormalWeb"/>
        <w:spacing w:before="0" w:after="0"/>
        <w:ind w:start="720" w:end="0"/>
        <w:rPr>
          <w:highlight w:val="yellow"/>
        </w:rPr>
      </w:pPr>
      <w:r>
        <w:rPr>
          <w:highlight w:val="yellow"/>
        </w:rPr>
        <w:t xml:space="preserve">2. </w:t>
      </w:r>
      <w:r>
        <w:rPr>
          <w:rFonts w:cs="Book Antiqua" w:ascii="Book Antiqua" w:hAnsi="Book Antiqua"/>
          <w:highlight w:val="yellow"/>
        </w:rPr>
        <w:t xml:space="preserve">An exchange of a productive asset not held for sale in the ordinary course of business for a </w:t>
      </w:r>
      <w:r>
        <w:rPr>
          <w:rFonts w:cs="Book Antiqua" w:ascii="Book Antiqua" w:hAnsi="Book Antiqua"/>
          <w:i/>
          <w:iCs/>
          <w:highlight w:val="yellow"/>
        </w:rPr>
        <w:t>similar</w:t>
      </w:r>
      <w:r>
        <w:rPr>
          <w:rFonts w:cs="Book Antiqua" w:ascii="Book Antiqua" w:hAnsi="Book Antiqua"/>
          <w:highlight w:val="yellow"/>
        </w:rPr>
        <w:t xml:space="preserve"> productive asset or an equivalent interest in the same or </w:t>
      </w:r>
      <w:r>
        <w:rPr>
          <w:rFonts w:cs="Book Antiqua" w:ascii="Book Antiqua" w:hAnsi="Book Antiqua"/>
          <w:i/>
          <w:iCs/>
          <w:highlight w:val="yellow"/>
        </w:rPr>
        <w:t>similar</w:t>
      </w:r>
      <w:r>
        <w:rPr>
          <w:rFonts w:cs="Book Antiqua" w:ascii="Book Antiqua" w:hAnsi="Book Antiqua"/>
          <w:highlight w:val="yellow"/>
        </w:rPr>
        <w:t xml:space="preserve"> productive asset.</w:t>
      </w:r>
    </w:p>
    <w:p>
      <w:pPr>
        <w:pStyle w:val="Normal"/>
        <w:rPr/>
      </w:pPr>
      <w:r>
        <w:rPr>
          <w:rFonts w:cs="Book Antiqua" w:ascii="Book Antiqua" w:hAnsi="Book Antiqua"/>
          <w:highlight w:val="yellow"/>
        </w:rPr>
        <w:t>The exchange of an asset held for sale for a productive asset would be recorded at fair value.</w:t>
      </w:r>
      <w:r>
        <w:rPr>
          <w:highlight w:val="yellow"/>
        </w:rPr>
        <w:br/>
        <w:br/>
      </w:r>
      <w:r>
        <w:rPr>
          <w:rFonts w:cs="Book Antiqua" w:ascii="Book Antiqua" w:hAnsi="Book Antiqua"/>
          <w:highlight w:val="yellow"/>
        </w:rPr>
        <w:t xml:space="preserve">The term </w:t>
      </w:r>
      <w:r>
        <w:rPr>
          <w:rFonts w:cs="Book Antiqua" w:ascii="Book Antiqua" w:hAnsi="Book Antiqua"/>
          <w:i/>
          <w:iCs/>
          <w:highlight w:val="yellow"/>
        </w:rPr>
        <w:t>similar</w:t>
      </w:r>
      <w:r>
        <w:rPr>
          <w:rFonts w:cs="Book Antiqua" w:ascii="Book Antiqua" w:hAnsi="Book Antiqua"/>
          <w:highlight w:val="yellow"/>
        </w:rPr>
        <w:t xml:space="preserve"> is broadly defined in Opinion 29 </w:t>
      </w:r>
      <w:r>
        <w:rPr>
          <w:color w:val="0000FF"/>
          <w:highlight w:val="yellow"/>
        </w:rPr>
        <w:drawing>
          <wp:inline distT="0" distB="0" distL="0" distR="0">
            <wp:extent cx="114300" cy="133350"/>
            <wp:effectExtent l="0" t="0" r="0" b="0"/>
            <wp:docPr id="75" name="Image74" descr="" titl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4" descr="" title="">
                      <a:hlinkClick r:id="rId152"/>
                    </pic:cNvPr>
                    <pic:cNvPicPr>
                      <a:picLocks noChangeAspect="1" noChangeArrowheads="1"/>
                    </pic:cNvPicPr>
                  </pic:nvPicPr>
                  <pic:blipFill>
                    <a:blip r:embed="rId15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xml:space="preserve">. EITF Issue No. 00-5, "Determining Whether a Nonmonetary Transaction Is an Exchange of Similar Productive Assets </w:t>
      </w:r>
      <w:r>
        <w:rPr>
          <w:color w:val="0000FF"/>
          <w:highlight w:val="yellow"/>
        </w:rPr>
        <w:drawing>
          <wp:inline distT="0" distB="0" distL="0" distR="0">
            <wp:extent cx="114300" cy="133350"/>
            <wp:effectExtent l="0" t="0" r="0" b="0"/>
            <wp:docPr id="76" name="Image75" descr="" title="">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5" descr="" title="">
                      <a:hlinkClick r:id="rId154"/>
                    </pic:cNvPr>
                    <pic:cNvPicPr>
                      <a:picLocks noChangeAspect="1" noChangeArrowheads="1"/>
                    </pic:cNvPicPr>
                  </pic:nvPicPr>
                  <pic:blipFill>
                    <a:blip r:embed="rId15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xml:space="preserve">," further clarifies the definition of </w:t>
      </w:r>
      <w:r>
        <w:rPr>
          <w:rFonts w:cs="Book Antiqua" w:ascii="Book Antiqua" w:hAnsi="Book Antiqua"/>
          <w:i/>
          <w:iCs/>
          <w:highlight w:val="yellow"/>
        </w:rPr>
        <w:t>similar</w:t>
      </w:r>
      <w:r>
        <w:rPr>
          <w:rFonts w:cs="Book Antiqua" w:ascii="Book Antiqua" w:hAnsi="Book Antiqua"/>
          <w:highlight w:val="yellow"/>
        </w:rPr>
        <w:t xml:space="preserve"> under Opinion 29. Exchanges of capacity contracts involving </w:t>
      </w:r>
      <w:r>
        <w:rPr>
          <w:rFonts w:cs="Book Antiqua" w:ascii="Book Antiqua" w:hAnsi="Book Antiqua"/>
          <w:highlight w:val="yellow"/>
          <w:u w:val="single"/>
        </w:rPr>
        <w:t>groups</w:t>
      </w:r>
      <w:r>
        <w:rPr>
          <w:rFonts w:cs="Book Antiqua" w:ascii="Book Antiqua" w:hAnsi="Book Antiqua"/>
          <w:highlight w:val="yellow"/>
        </w:rPr>
        <w:t xml:space="preserve"> of assets (for example, conduit and rights-of-way exchanged for conduit, rights-of-way, and dark fiber), would be considered similar productive assets under Opinion 29.</w:t>
      </w:r>
      <w:r>
        <w:rPr>
          <w:highlight w:val="yellow"/>
        </w:rPr>
        <w:br/>
        <w:br/>
      </w:r>
      <w:r>
        <w:rPr>
          <w:rFonts w:cs="Book Antiqua" w:ascii="Book Antiqua" w:hAnsi="Book Antiqua"/>
          <w:highlight w:val="yellow"/>
        </w:rPr>
        <w:t xml:space="preserve">In EITF Issue No. 87-29, </w:t>
      </w:r>
      <w:r>
        <w:rPr>
          <w:rFonts w:cs="Book Antiqua" w:ascii="Book Antiqua" w:hAnsi="Book Antiqua"/>
          <w:i/>
          <w:iCs/>
          <w:highlight w:val="yellow"/>
        </w:rPr>
        <w:t xml:space="preserve">Exchanges of Real Estate Involving Boot </w:t>
      </w:r>
      <w:r>
        <w:rPr>
          <w:color w:val="0000FF"/>
          <w:highlight w:val="yellow"/>
        </w:rPr>
        <w:drawing>
          <wp:inline distT="0" distB="0" distL="0" distR="0">
            <wp:extent cx="114300" cy="133350"/>
            <wp:effectExtent l="0" t="0" r="0" b="0"/>
            <wp:docPr id="77" name="Image76" descr="" title="">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6" descr="" title="">
                      <a:hlinkClick r:id="rId156"/>
                    </pic:cNvPr>
                    <pic:cNvPicPr>
                      <a:picLocks noChangeAspect="1" noChangeArrowheads="1"/>
                    </pic:cNvPicPr>
                  </pic:nvPicPr>
                  <pic:blipFill>
                    <a:blip r:embed="rId15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highlight w:val="yellow"/>
        </w:rPr>
        <w:t xml:space="preserve">, </w:t>
      </w:r>
      <w:r>
        <w:rPr>
          <w:rFonts w:cs="Book Antiqua" w:ascii="Book Antiqua" w:hAnsi="Book Antiqua"/>
          <w:highlight w:val="yellow"/>
        </w:rPr>
        <w:t xml:space="preserve">the Task Force reached a consensus that a transaction involving an exchange of similar real estate with monetary boot would be allocated between two components: a monetary portion and a nonmonetary portion based on their relative fair values at the time of the transaction. For the receiver of boot, the monetary portion would be accounted for under Statement 66 </w:t>
      </w:r>
      <w:r>
        <w:rPr>
          <w:color w:val="0000FF"/>
          <w:highlight w:val="yellow"/>
        </w:rPr>
        <w:drawing>
          <wp:inline distT="0" distB="0" distL="0" distR="0">
            <wp:extent cx="114300" cy="133350"/>
            <wp:effectExtent l="0" t="0" r="0" b="0"/>
            <wp:docPr id="78" name="Image77" descr="" title="">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7" descr="" title="">
                      <a:hlinkClick r:id="rId158"/>
                    </pic:cNvPr>
                    <pic:cNvPicPr>
                      <a:picLocks noChangeAspect="1" noChangeArrowheads="1"/>
                    </pic:cNvPicPr>
                  </pic:nvPicPr>
                  <pic:blipFill>
                    <a:blip r:embed="rId15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xml:space="preserve">as the equivalent of a sale of an interest in the underlying real estate, and the nonmonetary portion would be accounted for under paragraph 21 </w:t>
      </w:r>
      <w:r>
        <w:rPr>
          <w:color w:val="0000FF"/>
          <w:highlight w:val="yellow"/>
        </w:rPr>
        <w:drawing>
          <wp:inline distT="0" distB="0" distL="0" distR="0">
            <wp:extent cx="114300" cy="133350"/>
            <wp:effectExtent l="0" t="0" r="0" b="0"/>
            <wp:docPr id="79" name="Image78" descr="" title="">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8" descr="" title="">
                      <a:hlinkClick r:id="rId160"/>
                    </pic:cNvPr>
                    <pic:cNvPicPr>
                      <a:picLocks noChangeAspect="1" noChangeArrowheads="1"/>
                    </pic:cNvPicPr>
                  </pic:nvPicPr>
                  <pic:blipFill>
                    <a:blip r:embed="rId15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highlight w:val="yellow"/>
        </w:rPr>
        <w:t xml:space="preserve">of Opinion 29. For the payer of boot the monetary portion would be accounted for as an acquisition of real estate, and the nonmonetary portion would be accounted for under paragraph 21 of Opinion 29. </w:t>
      </w:r>
      <w:r>
        <w:rPr>
          <w:highlight w:val="yellow"/>
        </w:rPr>
        <w:br/>
        <w:br/>
      </w:r>
      <w:r>
        <w:rPr>
          <w:rFonts w:cs="Book Antiqua" w:ascii="Book Antiqua" w:hAnsi="Book Antiqua"/>
          <w:highlight w:val="yellow"/>
        </w:rPr>
        <w:t>We also believe a contract that gives one party a genuine option to receive either cash or capacity would be accounted for at fair value by that party, provided the cash and capacity have the same economic value.</w:t>
      </w:r>
      <w:r>
        <w:rPr/>
        <w:br/>
        <w:br/>
      </w:r>
      <w:r>
        <w:rPr>
          <w:rFonts w:cs="Book Antiqua" w:ascii="Book Antiqua" w:hAnsi="Book Antiqua"/>
          <w:b/>
          <w:bCs/>
          <w:highlight w:val="yellow"/>
        </w:rPr>
        <w:t>5.B. Non-Real Estate</w:t>
      </w:r>
      <w:r>
        <w:rPr>
          <w:highlight w:val="yellow"/>
        </w:rPr>
        <w:br/>
        <w:br/>
      </w:r>
      <w:r>
        <w:rPr>
          <w:rFonts w:cs="Book Antiqua" w:ascii="Book Antiqua" w:hAnsi="Book Antiqua"/>
          <w:highlight w:val="yellow"/>
        </w:rPr>
        <w:t xml:space="preserve">If the amount of monetary consideration ("boot") provided by one party is at least 25% of the fair value of the exchange, the entire transaction is regarded as being monetary and is recorded at fair value in accordance with EITF Issue No. 86-29, </w:t>
      </w:r>
      <w:r>
        <w:rPr>
          <w:rFonts w:cs="Book Antiqua" w:ascii="Book Antiqua" w:hAnsi="Book Antiqua"/>
          <w:i/>
          <w:iCs/>
          <w:highlight w:val="yellow"/>
        </w:rPr>
        <w:t xml:space="preserve">Nonmonetary Transactions: Magnitude of Boot and the Exceptions to the use of Fair Value </w:t>
      </w:r>
      <w:r>
        <w:rPr>
          <w:color w:val="0000FF"/>
          <w:highlight w:val="yellow"/>
        </w:rPr>
        <w:drawing>
          <wp:inline distT="0" distB="0" distL="0" distR="0">
            <wp:extent cx="114300" cy="133350"/>
            <wp:effectExtent l="0" t="0" r="0" b="0"/>
            <wp:docPr id="80" name="Image79" descr="" title="">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9" descr="" title="">
                      <a:hlinkClick r:id="rId162"/>
                    </pic:cNvPr>
                    <pic:cNvPicPr>
                      <a:picLocks noChangeAspect="1" noChangeArrowheads="1"/>
                    </pic:cNvPicPr>
                  </pic:nvPicPr>
                  <pic:blipFill>
                    <a:blip r:embed="rId16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highlight w:val="yellow"/>
        </w:rPr>
        <w:t>.</w:t>
      </w:r>
      <w:r>
        <w:rPr>
          <w:rFonts w:cs="Book Antiqua" w:ascii="Book Antiqua" w:hAnsi="Book Antiqua"/>
          <w:highlight w:val="yellow"/>
        </w:rPr>
        <w:t xml:space="preserve"> If the amount of the monetary consideration (or "boot") is less than 25%, the recipient of the boot will record a pro-rata gain. The party paying boot would not recognize a gain.</w:t>
      </w:r>
      <w:r>
        <w:rPr>
          <w:rFonts w:cs="Book Antiqua" w:ascii="Book Antiqua" w:hAnsi="Book Antiqua"/>
        </w:rPr>
        <w:t xml:space="preserve"> </w:t>
      </w:r>
      <w:r>
        <w:rPr/>
        <w:br/>
        <w:br/>
        <w:br/>
        <w:br/>
      </w:r>
      <w:r>
        <w:rPr>
          <w:rFonts w:cs="Book Antiqua" w:ascii="Book Antiqua" w:hAnsi="Book Antiqua"/>
          <w:b/>
          <w:bCs/>
        </w:rPr>
        <w:t>6. Accounting by Lessees</w:t>
      </w:r>
      <w:r>
        <w:rPr/>
        <w:br/>
        <w:br/>
      </w:r>
      <w:r>
        <w:rPr>
          <w:rFonts w:cs="Book Antiqua" w:ascii="Book Antiqua" w:hAnsi="Book Antiqua"/>
        </w:rPr>
        <w:t xml:space="preserve">Like the provider, the first issue for the counterparty to consider whether the IRU is a lease. If it is a lease, the lessee needs to review the four criteria in paragraph 7 </w:t>
      </w:r>
      <w:r>
        <w:rPr>
          <w:color w:val="0000FF"/>
        </w:rPr>
        <w:drawing>
          <wp:inline distT="0" distB="0" distL="0" distR="0">
            <wp:extent cx="114300" cy="133350"/>
            <wp:effectExtent l="0" t="0" r="0" b="0"/>
            <wp:docPr id="81" name="Image80" descr="" title="">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0" descr="" title="">
                      <a:hlinkClick r:id="rId164"/>
                    </pic:cNvPr>
                    <pic:cNvPicPr>
                      <a:picLocks noChangeAspect="1" noChangeArrowheads="1"/>
                    </pic:cNvPicPr>
                  </pic:nvPicPr>
                  <pic:blipFill>
                    <a:blip r:embed="rId16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to see whether it meets one of those tests. If so, it is a capital lease. An IRU for the estimated economic life would likely meet the criteria in paragraph 7(c). </w:t>
      </w:r>
      <w:r>
        <w:rPr/>
        <w:br/>
        <w:br/>
      </w:r>
      <w:r>
        <w:rPr>
          <w:rFonts w:cs="Book Antiqua" w:ascii="Book Antiqua" w:hAnsi="Book Antiqua"/>
        </w:rPr>
        <w:t xml:space="preserve">Subsequent to FIN 43 </w:t>
      </w:r>
      <w:r>
        <w:rPr>
          <w:color w:val="0000FF"/>
        </w:rPr>
        <w:drawing>
          <wp:inline distT="0" distB="0" distL="0" distR="0">
            <wp:extent cx="114300" cy="133350"/>
            <wp:effectExtent l="0" t="0" r="0" b="0"/>
            <wp:docPr id="82" name="Image81" descr="" title="">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1" descr="" title="">
                      <a:hlinkClick r:id="rId166"/>
                    </pic:cNvPr>
                    <pic:cNvPicPr>
                      <a:picLocks noChangeAspect="1" noChangeArrowheads="1"/>
                    </pic:cNvPicPr>
                  </pic:nvPicPr>
                  <pic:blipFill>
                    <a:blip r:embed="rId165"/>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the lessee would also need to consider paragraph 26 </w:t>
      </w:r>
      <w:r>
        <w:rPr>
          <w:color w:val="0000FF"/>
        </w:rPr>
        <w:drawing>
          <wp:inline distT="0" distB="0" distL="0" distR="0">
            <wp:extent cx="114300" cy="133350"/>
            <wp:effectExtent l="0" t="0" r="0" b="0"/>
            <wp:docPr id="83" name="Image82" descr="" title="">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2" descr="" title="">
                      <a:hlinkClick r:id="rId168"/>
                    </pic:cNvPr>
                    <pic:cNvPicPr>
                      <a:picLocks noChangeAspect="1" noChangeArrowheads="1"/>
                    </pic:cNvPicPr>
                  </pic:nvPicPr>
                  <pic:blipFill>
                    <a:blip r:embed="rId167"/>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The integral equipment is like the "building" discussed in paragraph 26. Assuming the lease does not meet criterion 7(a) or 7(b) of Statement 13, then it is necessary to determine the "fair value of the [pure] land" element in the lease. It is difficult to imagine the circumstances where this would be greater than 25% of the total fair value of the leased assets in which case the whole agreement can be accounted as a single unit. See Interpretation 26-1 </w:t>
      </w:r>
      <w:r>
        <w:rPr>
          <w:color w:val="0000FF"/>
        </w:rPr>
        <w:drawing>
          <wp:inline distT="0" distB="0" distL="0" distR="0">
            <wp:extent cx="114300" cy="133350"/>
            <wp:effectExtent l="0" t="0" r="0" b="0"/>
            <wp:docPr id="84" name="Image83" descr="" titl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3" descr="" title="">
                      <a:hlinkClick r:id="rId170"/>
                    </pic:cNvPr>
                    <pic:cNvPicPr>
                      <a:picLocks noChangeAspect="1" noChangeArrowheads="1"/>
                    </pic:cNvPicPr>
                  </pic:nvPicPr>
                  <pic:blipFill>
                    <a:blip r:embed="rId16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in Arthur Andersen's publication, "</w:t>
      </w:r>
      <w:r>
        <w:rPr>
          <w:rFonts w:cs="Book Antiqua" w:ascii="Book Antiqua" w:hAnsi="Book Antiqua"/>
          <w:i/>
          <w:iCs/>
        </w:rPr>
        <w:t>Accounting for Leases"</w:t>
      </w:r>
      <w:r>
        <w:rPr>
          <w:rFonts w:cs="Book Antiqua" w:ascii="Book Antiqua" w:hAnsi="Book Antiqua"/>
        </w:rPr>
        <w:t xml:space="preserve"> </w:t>
      </w:r>
      <w:r>
        <w:rPr/>
        <w:br/>
        <w:br/>
        <w:br/>
        <w:br/>
        <w:br/>
      </w:r>
      <w:r>
        <w:rPr>
          <w:rFonts w:cs="Book Antiqua" w:ascii="Book Antiqua" w:hAnsi="Book Antiqua"/>
        </w:rPr>
        <w:t xml:space="preserve">(Updated March 2001 </w:t>
      </w:r>
      <w:r>
        <w:rPr>
          <w:color w:val="0000FF"/>
        </w:rPr>
        <w:drawing>
          <wp:inline distT="0" distB="0" distL="0" distR="0">
            <wp:extent cx="114300" cy="133350"/>
            <wp:effectExtent l="0" t="0" r="0" b="0"/>
            <wp:docPr id="85" name="Image84" descr="" title="">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4" descr="" title="">
                      <a:hlinkClick r:id="rId172"/>
                    </pic:cNvPr>
                    <pic:cNvPicPr>
                      <a:picLocks noChangeAspect="1" noChangeArrowheads="1"/>
                    </pic:cNvPicPr>
                  </pic:nvPicPr>
                  <pic:blipFill>
                    <a:blip r:embed="rId17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b/>
          <w:bCs/>
        </w:rPr>
        <w:t>Appendix 1</w:t>
      </w:r>
      <w:r>
        <w:rPr/>
        <w:br/>
        <w:br/>
      </w:r>
      <w:r>
        <w:rPr>
          <w:rFonts w:cs="Book Antiqua" w:ascii="Book Antiqua" w:hAnsi="Book Antiqua"/>
          <w:b/>
          <w:bCs/>
        </w:rPr>
        <w:t>Accounting by the Original Lessee for Subleases and Similar Transactions</w:t>
      </w:r>
      <w:r>
        <w:rPr/>
        <w:br/>
        <w:br/>
      </w:r>
      <w:r>
        <w:rPr>
          <w:rFonts w:cs="Book Antiqua" w:ascii="Book Antiqua" w:hAnsi="Book Antiqua"/>
        </w:rPr>
        <w:t xml:space="preserve">FASB Interpretation (FIN) No. 27, </w:t>
      </w:r>
      <w:r>
        <w:rPr>
          <w:rFonts w:cs="Book Antiqua" w:ascii="Book Antiqua" w:hAnsi="Book Antiqua"/>
          <w:i/>
          <w:iCs/>
        </w:rPr>
        <w:t>Accounting for a Loss on a Sublease</w:t>
      </w:r>
      <w:r>
        <w:rPr>
          <w:rFonts w:cs="Book Antiqua" w:ascii="Book Antiqua" w:hAnsi="Book Antiqua"/>
        </w:rPr>
        <w:t xml:space="preserve"> </w:t>
      </w:r>
      <w:r>
        <w:rPr>
          <w:color w:val="0000FF"/>
        </w:rPr>
        <w:drawing>
          <wp:inline distT="0" distB="0" distL="0" distR="0">
            <wp:extent cx="114300" cy="133350"/>
            <wp:effectExtent l="0" t="0" r="0" b="0"/>
            <wp:docPr id="86" name="Image85" descr="" title="">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5" descr="" title="">
                      <a:hlinkClick r:id="rId174"/>
                    </pic:cNvPr>
                    <pic:cNvPicPr>
                      <a:picLocks noChangeAspect="1" noChangeArrowheads="1"/>
                    </pic:cNvPicPr>
                  </pic:nvPicPr>
                  <pic:blipFill>
                    <a:blip r:embed="rId17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defines an </w:t>
      </w:r>
      <w:r>
        <w:rPr>
          <w:rFonts w:cs="Book Antiqua" w:ascii="Book Antiqua" w:hAnsi="Book Antiqua"/>
          <w:i/>
          <w:iCs/>
        </w:rPr>
        <w:t>original lessee</w:t>
      </w:r>
      <w:r>
        <w:rPr>
          <w:rFonts w:cs="Book Antiqua" w:ascii="Book Antiqua" w:hAnsi="Book Antiqua"/>
        </w:rPr>
        <w:t xml:space="preserve"> to include "any lessee who acts as a sublessor on a sublease." The following flowchart sets forth the accounting by an original lessee for subleases and similar transactions.</w:t>
      </w:r>
      <w:r>
        <w:rPr/>
        <w:br/>
        <w:br/>
      </w:r>
      <w:r>
        <w:rPr>
          <w:rFonts w:cs="Book Antiqua" w:ascii="Book Antiqua" w:hAnsi="Book Antiqua"/>
          <w:b/>
          <w:bCs/>
        </w:rPr>
        <w:t>Original Lessee Accounting for Subleases and Similar Transactions</w:t>
      </w:r>
      <w:r>
        <w:rPr/>
        <w:br/>
        <w:br/>
      </w:r>
      <w:r>
        <w:rPr/>
        <w:drawing>
          <wp:inline distT="0" distB="0" distL="0" distR="0">
            <wp:extent cx="5905500" cy="3714750"/>
            <wp:effectExtent l="0" t="0" r="0" b="0"/>
            <wp:docPr id="87" nam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16" descr="" title=""/>
                    <pic:cNvPicPr>
                      <a:picLocks noChangeAspect="1" noChangeArrowheads="1"/>
                    </pic:cNvPicPr>
                  </pic:nvPicPr>
                  <pic:blipFill>
                    <a:blip r:embed="rId175"/>
                    <a:srcRect l="-6" t="-10" r="-6" b="-10"/>
                    <a:stretch>
                      <a:fillRect/>
                    </a:stretch>
                  </pic:blipFill>
                  <pic:spPr bwMode="auto">
                    <a:xfrm>
                      <a:off x="0" y="0"/>
                      <a:ext cx="5905500" cy="3714750"/>
                    </a:xfrm>
                    <a:prstGeom prst="rect">
                      <a:avLst/>
                    </a:prstGeom>
                    <a:noFill/>
                  </pic:spPr>
                </pic:pic>
              </a:graphicData>
            </a:graphic>
          </wp:inline>
        </w:drawing>
      </w:r>
      <w:r>
        <w:rPr/>
        <w:br/>
        <w:br/>
      </w:r>
      <w:r>
        <w:rPr>
          <w:rFonts w:cs="Book Antiqua" w:ascii="Book Antiqua" w:hAnsi="Book Antiqua"/>
          <w:b/>
          <w:bCs/>
        </w:rPr>
        <w:t>Decision Points:</w:t>
      </w:r>
      <w:r>
        <w:rPr/>
        <w:br/>
        <w:br/>
      </w:r>
      <w:r>
        <w:rPr>
          <w:rFonts w:cs="Book Antiqua" w:ascii="Book Antiqua" w:hAnsi="Book Antiqua"/>
          <w:b/>
          <w:bCs/>
        </w:rPr>
        <w:t>A. Does the original lessee remain primarily liable?</w:t>
      </w:r>
      <w:r>
        <w:rPr>
          <w:rFonts w:cs="Book Antiqua" w:ascii="Book Antiqua" w:hAnsi="Book Antiqua"/>
        </w:rPr>
        <w:t xml:space="preserve"> The original lessee would typically be relieved of the primary obligation under the original lease if </w:t>
      </w:r>
      <w:r>
        <w:rPr>
          <w:rFonts w:cs="Book Antiqua" w:ascii="Book Antiqua" w:hAnsi="Book Antiqua"/>
          <w:i/>
          <w:iCs/>
        </w:rPr>
        <w:t>(a)</w:t>
      </w:r>
      <w:r>
        <w:rPr>
          <w:rFonts w:cs="Book Antiqua" w:ascii="Book Antiqua" w:hAnsi="Book Antiqua"/>
        </w:rPr>
        <w:t xml:space="preserve"> a new lessee is substituted under the original lease agreement and the new lessee becomes the primary obligor (the original lessee may remain secondarily liable) or </w:t>
      </w:r>
      <w:r>
        <w:rPr>
          <w:rFonts w:cs="Book Antiqua" w:ascii="Book Antiqua" w:hAnsi="Book Antiqua"/>
          <w:i/>
          <w:iCs/>
        </w:rPr>
        <w:t>(b)</w:t>
      </w:r>
      <w:r>
        <w:rPr>
          <w:rFonts w:cs="Book Antiqua" w:ascii="Book Antiqua" w:hAnsi="Book Antiqua"/>
        </w:rPr>
        <w:t xml:space="preserve"> a new lease agreement is substituted and the original lease is canceled. The original lessee would not be relieved of the primary obligation if the original lease agreement was unchanged and a sublease agreement was executed.</w:t>
      </w:r>
      <w:r>
        <w:rPr/>
        <w:br/>
        <w:br/>
      </w:r>
      <w:r>
        <w:rPr>
          <w:rFonts w:cs="Book Antiqua" w:ascii="Book Antiqua" w:hAnsi="Book Antiqua"/>
          <w:b/>
          <w:bCs/>
        </w:rPr>
        <w:t>B. Was the original lease agreement a capital lease?</w:t>
      </w:r>
      <w:r>
        <w:rPr/>
        <w:br/>
        <w:br/>
      </w:r>
      <w:r>
        <w:rPr>
          <w:rFonts w:cs="Book Antiqua" w:ascii="Book Antiqua" w:hAnsi="Book Antiqua"/>
          <w:b/>
          <w:bCs/>
        </w:rPr>
        <w:t>C. Did the original lease agreement contain a bargain purchase option or transfer ownership of the property by the end of the lease term?</w:t>
      </w:r>
      <w:r>
        <w:rPr/>
        <w:br/>
        <w:br/>
      </w:r>
      <w:r>
        <w:rPr>
          <w:rFonts w:cs="Book Antiqua" w:ascii="Book Antiqua" w:hAnsi="Book Antiqua"/>
          <w:b/>
          <w:bCs/>
        </w:rPr>
        <w:t>D. Did the original lessee serve only as an intermediary in the transaction?</w:t>
      </w:r>
      <w:r>
        <w:rPr>
          <w:rFonts w:cs="Book Antiqua" w:ascii="Book Antiqua" w:hAnsi="Book Antiqua"/>
        </w:rPr>
        <w:t xml:space="preserve"> This would be the case if the lease and sublease were executed at or about the same time and other circumstances surrounding the transaction suggest the sublease was intended as an integral part of the original lease transaction.</w:t>
      </w:r>
      <w:r>
        <w:rPr/>
        <w:br/>
        <w:br/>
      </w:r>
      <w:r>
        <w:rPr>
          <w:rFonts w:cs="Book Antiqua" w:ascii="Book Antiqua" w:hAnsi="Book Antiqua"/>
          <w:b/>
          <w:bCs/>
        </w:rPr>
        <w:t>Accounting Treatment:</w:t>
      </w:r>
      <w:r>
        <w:rPr/>
        <w:br/>
        <w:br/>
      </w:r>
      <w:r>
        <w:rPr>
          <w:rFonts w:cs="Book Antiqua" w:ascii="Book Antiqua" w:hAnsi="Book Antiqua"/>
          <w:b/>
          <w:bCs/>
        </w:rPr>
        <w:t xml:space="preserve">1. Remove leased asset and capital lease obligation if original lease was a capital lease, and recognize secondary obligation, if applicable. </w:t>
      </w:r>
      <w:r>
        <w:rPr>
          <w:rFonts w:cs="Book Antiqua" w:ascii="Book Antiqua" w:hAnsi="Book Antiqua"/>
        </w:rPr>
        <w:t xml:space="preserve">If the original lease was a capital lease, the asset and obligation should be removed from the balance sheet of the original lessee, gain or loss recognized for the difference, and, if the original lessee is secondarily liable, the loss contingency treated as specified in FASB Statement No. 140, </w:t>
      </w:r>
      <w:r>
        <w:rPr>
          <w:rFonts w:cs="Book Antiqua" w:ascii="Book Antiqua" w:hAnsi="Book Antiqua"/>
          <w:i/>
          <w:iCs/>
        </w:rPr>
        <w:t xml:space="preserve">Accounting for Transfers and Servicing of Financial Assets and Extinguishments of Liabilities </w:t>
      </w:r>
      <w:r>
        <w:rPr>
          <w:color w:val="0000FF"/>
        </w:rPr>
        <w:drawing>
          <wp:inline distT="0" distB="0" distL="0" distR="0">
            <wp:extent cx="114300" cy="133350"/>
            <wp:effectExtent l="0" t="0" r="0" b="0"/>
            <wp:docPr id="88" name="Image86" descr="" title="">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6" descr="" title="">
                      <a:hlinkClick r:id="rId177"/>
                    </pic:cNvPr>
                    <pic:cNvPicPr>
                      <a:picLocks noChangeAspect="1" noChangeArrowheads="1"/>
                    </pic:cNvPicPr>
                  </pic:nvPicPr>
                  <pic:blipFill>
                    <a:blip r:embed="rId176"/>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rPr>
        <w:t xml:space="preserve">. </w:t>
      </w:r>
      <w:r>
        <w:rPr>
          <w:rFonts w:cs="Book Antiqua" w:ascii="Book Antiqua" w:hAnsi="Book Antiqua"/>
        </w:rPr>
        <w:t xml:space="preserve">Statement 140 requires that the guarantee initially be recognized at fair value, with such amount reducing any gain or increasing any loss on extinguishment of the capital lease obligation. Any consideration paid or received on termination is included in the determination of gain or loss to be recognized. If the original lease was an operating lease and the original lessee is secondarily liable, the loss contingency should be treated as specified in Statement 140. </w:t>
      </w:r>
      <w:r>
        <w:rPr/>
        <w:br/>
        <w:br/>
      </w:r>
      <w:r>
        <w:rPr>
          <w:rFonts w:cs="Book Antiqua" w:ascii="Book Antiqua" w:hAnsi="Book Antiqua"/>
          <w:b/>
          <w:bCs/>
        </w:rPr>
        <w:t>2. Sublease is an operating lease.</w:t>
      </w:r>
      <w:r>
        <w:rPr>
          <w:rFonts w:cs="Book Antiqua" w:ascii="Book Antiqua" w:hAnsi="Book Antiqua"/>
        </w:rPr>
        <w:t xml:space="preserve"> The original lessee should account for both the original lease and the new sublease as operating leases.</w:t>
      </w:r>
      <w:r>
        <w:rPr/>
        <w:br/>
        <w:br/>
      </w:r>
      <w:r>
        <w:rPr>
          <w:rFonts w:cs="Book Antiqua" w:ascii="Book Antiqua" w:hAnsi="Book Antiqua"/>
          <w:b/>
          <w:bCs/>
        </w:rPr>
        <w:t>3. Classify new lease using all criteria in paragraph 7 of Statement 13.</w:t>
      </w:r>
      <w:r>
        <w:rPr>
          <w:rFonts w:cs="Book Antiqua" w:ascii="Book Antiqua" w:hAnsi="Book Antiqua"/>
        </w:rPr>
        <w:t xml:space="preserve"> If the new lease meets one of the criteria in paragraph 7 </w:t>
      </w:r>
      <w:r>
        <w:rPr>
          <w:color w:val="0000FF"/>
        </w:rPr>
        <w:drawing>
          <wp:inline distT="0" distB="0" distL="0" distR="0">
            <wp:extent cx="114300" cy="133350"/>
            <wp:effectExtent l="0" t="0" r="0" b="0"/>
            <wp:docPr id="89" name="Image87" descr="" title="">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7" descr="" title="">
                      <a:hlinkClick r:id="rId179"/>
                    </pic:cNvPr>
                    <pic:cNvPicPr>
                      <a:picLocks noChangeAspect="1" noChangeArrowheads="1"/>
                    </pic:cNvPicPr>
                  </pic:nvPicPr>
                  <pic:blipFill>
                    <a:blip r:embed="rId178"/>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 and both of the criteria in paragraph 8 of Statement 13, it should be accounted for as a sales-type or direct financing lease, as appropriate, and the unamortized balance of the asset under the original lease should be treated as the cost of the leased property; otherwise, the new lease is an operating lease. In either case, the accounting for the original lease obligation remains unchanged. If the leased property is real estate and the sublease does not provide for the transfer of title by the end of its term, the sublessor would account for the sublease as an operating lease.</w:t>
      </w:r>
      <w:r>
        <w:rPr/>
        <w:br/>
        <w:br/>
      </w:r>
      <w:r>
        <w:rPr>
          <w:rFonts w:cs="Book Antiqua" w:ascii="Book Antiqua" w:hAnsi="Book Antiqua"/>
          <w:b/>
          <w:bCs/>
        </w:rPr>
        <w:t>4. Classify the new lease using only the criteria in paragraphs 7(c) and 8 of Statement 13.</w:t>
      </w:r>
      <w:r>
        <w:rPr>
          <w:rFonts w:cs="Book Antiqua" w:ascii="Book Antiqua" w:hAnsi="Book Antiqua"/>
        </w:rPr>
        <w:t xml:space="preserve"> If the criteria in paragraph 8 of Statement 13 are met and the new lease </w:t>
      </w:r>
      <w:r>
        <w:rPr>
          <w:rFonts w:cs="Book Antiqua" w:ascii="Book Antiqua" w:hAnsi="Book Antiqua"/>
          <w:i/>
          <w:iCs/>
        </w:rPr>
        <w:t xml:space="preserve">(a) </w:t>
      </w:r>
      <w:r>
        <w:rPr>
          <w:rFonts w:cs="Book Antiqua" w:ascii="Book Antiqua" w:hAnsi="Book Antiqua"/>
        </w:rPr>
        <w:t xml:space="preserve">is not entered into within the last 25% of the leased property's total estimated economic life and </w:t>
      </w:r>
      <w:r>
        <w:rPr>
          <w:rFonts w:cs="Book Antiqua" w:ascii="Book Antiqua" w:hAnsi="Book Antiqua"/>
          <w:i/>
          <w:iCs/>
        </w:rPr>
        <w:t>(b)</w:t>
      </w:r>
      <w:r>
        <w:rPr>
          <w:rFonts w:cs="Book Antiqua" w:ascii="Book Antiqua" w:hAnsi="Book Antiqua"/>
        </w:rPr>
        <w:t xml:space="preserve"> the lease term equals or exceeds 75% or more of the leased property's remaining estimated economic life, account for the new lease as a direct financing lease with the unamortized balance of the asset under the original lease treated as the cost of the leased property; otherwise, treat the lease as an operating lease. In either case, the accounting for the original lease obligation remains unchanged. </w:t>
      </w:r>
      <w:r>
        <w:rPr/>
        <w:br/>
        <w:br/>
      </w:r>
      <w:r>
        <w:rPr>
          <w:rFonts w:cs="Book Antiqua" w:ascii="Book Antiqua" w:hAnsi="Book Antiqua"/>
          <w:b/>
          <w:bCs/>
        </w:rPr>
        <w:t>5. Classify the new lease using the criteria in paragraphs 7(c), 7(d), and 8 of Statement 13.</w:t>
      </w:r>
      <w:r>
        <w:rPr>
          <w:rFonts w:cs="Book Antiqua" w:ascii="Book Antiqua" w:hAnsi="Book Antiqua"/>
        </w:rPr>
        <w:t xml:space="preserve"> If the criteria in paragraph 8 of Statement 13 are met and the new lease is </w:t>
      </w:r>
      <w:r>
        <w:rPr>
          <w:rFonts w:cs="Book Antiqua" w:ascii="Book Antiqua" w:hAnsi="Book Antiqua"/>
          <w:i/>
          <w:iCs/>
        </w:rPr>
        <w:t>(a)</w:t>
      </w:r>
      <w:r>
        <w:rPr>
          <w:rFonts w:cs="Book Antiqua" w:ascii="Book Antiqua" w:hAnsi="Book Antiqua"/>
        </w:rPr>
        <w:t xml:space="preserve"> not entered into within the last 25% of the leased property's total estimated economic life and </w:t>
      </w:r>
      <w:r>
        <w:rPr>
          <w:rFonts w:cs="Book Antiqua" w:ascii="Book Antiqua" w:hAnsi="Book Antiqua"/>
          <w:i/>
          <w:iCs/>
        </w:rPr>
        <w:t>(b)</w:t>
      </w:r>
      <w:r>
        <w:rPr>
          <w:rFonts w:cs="Book Antiqua" w:ascii="Book Antiqua" w:hAnsi="Book Antiqua"/>
        </w:rPr>
        <w:t xml:space="preserve"> the test from either paragraph 7(c) (the economic-life test) or 7(d) (the 90% recovery test) is met, account for the new lease as a direct financing lease (see Item 4 above); otherwise account for it as an operating lease. The fair value of the leased property used in the 90% recovery test should be the fair value to the original lessor at the inception of the lease. The accounting for the obligation related to the original lease remains unchanged regardless of the classification of the new lease. </w:t>
      </w:r>
      <w:r>
        <w:rPr/>
        <w:br/>
        <w:br/>
      </w:r>
      <w:r>
        <w:rPr>
          <w:rFonts w:cs="Book Antiqua" w:ascii="Book Antiqua" w:hAnsi="Book Antiqua"/>
        </w:rPr>
        <w:t xml:space="preserve">While paragraph 38 </w:t>
      </w:r>
      <w:r>
        <w:rPr>
          <w:color w:val="0000FF"/>
        </w:rPr>
        <w:drawing>
          <wp:inline distT="0" distB="0" distL="0" distR="0">
            <wp:extent cx="114300" cy="133350"/>
            <wp:effectExtent l="0" t="0" r="0" b="0"/>
            <wp:docPr id="90" name="Image88" descr="" title="">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8" descr="" title="">
                      <a:hlinkClick r:id="rId181"/>
                    </pic:cNvPr>
                    <pic:cNvPicPr>
                      <a:picLocks noChangeAspect="1" noChangeArrowheads="1"/>
                    </pic:cNvPicPr>
                  </pic:nvPicPr>
                  <pic:blipFill>
                    <a:blip r:embed="rId180"/>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indicates the secondary obligation retained by the original lessee should be treated in accordance with FASB Statement No. 5, </w:t>
      </w:r>
      <w:r>
        <w:rPr>
          <w:rFonts w:cs="Book Antiqua" w:ascii="Book Antiqua" w:hAnsi="Book Antiqua"/>
          <w:i/>
          <w:iCs/>
        </w:rPr>
        <w:t xml:space="preserve">Accounting for Contingencies </w:t>
      </w:r>
      <w:r>
        <w:rPr>
          <w:color w:val="0000FF"/>
        </w:rPr>
        <w:drawing>
          <wp:inline distT="0" distB="0" distL="0" distR="0">
            <wp:extent cx="114300" cy="133350"/>
            <wp:effectExtent l="0" t="0" r="0" b="0"/>
            <wp:docPr id="91" name="Image89" descr="" title="">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9" descr="" title="">
                      <a:hlinkClick r:id="rId183"/>
                    </pic:cNvPr>
                    <pic:cNvPicPr>
                      <a:picLocks noChangeAspect="1" noChangeArrowheads="1"/>
                    </pic:cNvPicPr>
                  </pic:nvPicPr>
                  <pic:blipFill>
                    <a:blip r:embed="rId182"/>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we believe the guidance in Statement 140 </w:t>
      </w:r>
      <w:r>
        <w:rPr>
          <w:color w:val="0000FF"/>
        </w:rPr>
        <w:drawing>
          <wp:inline distT="0" distB="0" distL="0" distR="0">
            <wp:extent cx="114300" cy="133350"/>
            <wp:effectExtent l="0" t="0" r="0" b="0"/>
            <wp:docPr id="92" name="Image90" descr="" title="">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0" descr="" title="">
                      <a:hlinkClick r:id="rId185"/>
                    </pic:cNvPr>
                    <pic:cNvPicPr>
                      <a:picLocks noChangeAspect="1" noChangeArrowheads="1"/>
                    </pic:cNvPicPr>
                  </pic:nvPicPr>
                  <pic:blipFill>
                    <a:blip r:embed="rId184"/>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should preferably be applied because of Statement 140's applicability to all extinguishments of liabilities. However, because the FASB did not explicitly amend this provision of Statement 13 </w:t>
      </w:r>
      <w:r>
        <w:rPr>
          <w:color w:val="0000FF"/>
        </w:rPr>
        <w:drawing>
          <wp:inline distT="0" distB="0" distL="0" distR="0">
            <wp:extent cx="114300" cy="133350"/>
            <wp:effectExtent l="0" t="0" r="0" b="0"/>
            <wp:docPr id="93" name="Image91" descr="" title="">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1" descr="" title="">
                      <a:hlinkClick r:id="rId187"/>
                    </pic:cNvPr>
                    <pic:cNvPicPr>
                      <a:picLocks noChangeAspect="1" noChangeArrowheads="1"/>
                    </pic:cNvPicPr>
                  </pic:nvPicPr>
                  <pic:blipFill>
                    <a:blip r:embed="rId186"/>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we cannot insist on applying the guidance in Statement 140.</w:t>
      </w:r>
      <w:r>
        <w:rPr/>
        <w:br/>
        <w:br/>
        <w:br/>
      </w:r>
      <w:r>
        <w:rPr>
          <w:rFonts w:cs="Book Antiqua" w:ascii="Book Antiqua" w:hAnsi="Book Antiqua"/>
          <w:b/>
          <w:bCs/>
        </w:rPr>
        <w:t>Appendix 2</w:t>
      </w:r>
      <w:r>
        <w:rPr/>
        <w:br/>
        <w:br/>
      </w:r>
      <w:r>
        <w:rPr>
          <w:rFonts w:cs="Book Antiqua" w:ascii="Book Antiqua" w:hAnsi="Book Antiqua"/>
          <w:b/>
          <w:bCs/>
        </w:rPr>
        <w:t>References in Current Accounting Literature Supportive of Leases of an Undivided Interest</w:t>
      </w:r>
      <w:r>
        <w:rPr/>
        <w:br/>
        <w:br/>
      </w:r>
      <w:r>
        <w:rPr>
          <w:rFonts w:cs="Book Antiqua" w:ascii="Book Antiqua" w:hAnsi="Book Antiqua"/>
        </w:rPr>
        <w:t xml:space="preserve">1 In EITF Topic D-24, "Sale-Leaseback Transactions with Continuing Involvement </w:t>
      </w:r>
      <w:r>
        <w:rPr>
          <w:color w:val="0000FF"/>
        </w:rPr>
        <w:drawing>
          <wp:inline distT="0" distB="0" distL="0" distR="0">
            <wp:extent cx="114300" cy="133350"/>
            <wp:effectExtent l="0" t="0" r="0" b="0"/>
            <wp:docPr id="94" name="Image92" descr="" title="">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2" descr="" title="">
                      <a:hlinkClick r:id="rId189"/>
                    </pic:cNvPr>
                    <pic:cNvPicPr>
                      <a:picLocks noChangeAspect="1" noChangeArrowheads="1"/>
                    </pic:cNvPicPr>
                  </pic:nvPicPr>
                  <pic:blipFill>
                    <a:blip r:embed="rId188"/>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i/>
          <w:iCs/>
        </w:rPr>
        <w:t xml:space="preserve">", </w:t>
      </w:r>
      <w:r>
        <w:rPr>
          <w:rFonts w:cs="Book Antiqua" w:ascii="Book Antiqua" w:hAnsi="Book Antiqua"/>
        </w:rPr>
        <w:t>the FASB staff announced that they had responded to the following question.</w:t>
      </w:r>
    </w:p>
    <w:p>
      <w:pPr>
        <w:pStyle w:val="Normal"/>
        <w:ind w:start="720" w:end="0"/>
        <w:rPr/>
      </w:pPr>
      <w:r>
        <w:rPr>
          <w:rFonts w:cs="Book Antiqua" w:ascii="Book Antiqua" w:hAnsi="Book Antiqua"/>
          <w:sz w:val="20"/>
          <w:szCs w:val="20"/>
        </w:rPr>
        <w:t>PARTIAL SALE-LEASEBACK</w:t>
      </w:r>
      <w:r>
        <w:rPr/>
        <w:br/>
        <w:br/>
      </w:r>
      <w:r>
        <w:rPr>
          <w:rFonts w:cs="Book Antiqua" w:ascii="Book Antiqua" w:hAnsi="Book Antiqua"/>
          <w:sz w:val="20"/>
          <w:szCs w:val="20"/>
        </w:rPr>
        <w:t xml:space="preserve">Q — A utility that owns a 30 percent undivided interest in an electric generating facility is considering the sale-leaseback of a 7 percent undivided interest, which would leave the utility a 23 percent ownership interest and a 7 percent leasehold interest. Does the retention of a partial interest of a property in a sale-leaseback transaction violate the continuing involvement conditions of Statement 98 </w:t>
      </w:r>
      <w:r>
        <w:rPr>
          <w:color w:val="0000FF"/>
        </w:rPr>
        <w:drawing>
          <wp:inline distT="0" distB="0" distL="0" distR="0">
            <wp:extent cx="114300" cy="133350"/>
            <wp:effectExtent l="0" t="0" r="0" b="0"/>
            <wp:docPr id="95" name="Image93" descr="" title="">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3" descr="" title="">
                      <a:hlinkClick r:id="rId191"/>
                    </pic:cNvPr>
                    <pic:cNvPicPr>
                      <a:picLocks noChangeAspect="1" noChangeArrowheads="1"/>
                    </pic:cNvPicPr>
                  </pic:nvPicPr>
                  <pic:blipFill>
                    <a:blip r:embed="rId190"/>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w:t>
      </w:r>
    </w:p>
    <w:p>
      <w:pPr>
        <w:pStyle w:val="Normal"/>
        <w:ind w:start="720" w:end="0"/>
        <w:rPr/>
      </w:pPr>
      <w:r>
        <w:rPr>
          <w:rFonts w:cs="Book Antiqua" w:ascii="Book Antiqua" w:hAnsi="Book Antiqua"/>
          <w:sz w:val="20"/>
          <w:szCs w:val="20"/>
        </w:rPr>
        <w:t xml:space="preserve">A — Yes. The FASB staff believes that partial sale transactions preclude the use of sale-leaseback accounting due to the continuing involvement of the seller-lessee. The FASB staff believes the Board intended the continuing involvement conditions of Statement 98 to be interpreted restrictively as indicated by the broad prohibitions of paragraphs 11-13 </w:t>
      </w:r>
      <w:r>
        <w:rPr>
          <w:color w:val="0000FF"/>
        </w:rPr>
        <w:drawing>
          <wp:inline distT="0" distB="0" distL="0" distR="0">
            <wp:extent cx="114300" cy="133350"/>
            <wp:effectExtent l="0" t="0" r="0" b="0"/>
            <wp:docPr id="96" name="Image94" descr="" title="">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4" descr="" title="">
                      <a:hlinkClick r:id="rId193"/>
                    </pic:cNvPr>
                    <pic:cNvPicPr>
                      <a:picLocks noChangeAspect="1" noChangeArrowheads="1"/>
                    </pic:cNvPicPr>
                  </pic:nvPicPr>
                  <pic:blipFill>
                    <a:blip r:embed="rId192"/>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w:t>
      </w:r>
    </w:p>
    <w:p>
      <w:pPr>
        <w:pStyle w:val="Normal"/>
        <w:rPr/>
      </w:pPr>
      <w:r>
        <w:rPr>
          <w:rFonts w:cs="Book Antiqua" w:ascii="Book Antiqua" w:hAnsi="Book Antiqua"/>
        </w:rPr>
        <w:t xml:space="preserve">2 Statement of Financial Accounting Concepts No. 6 </w:t>
      </w:r>
      <w:r>
        <w:rPr>
          <w:rFonts w:cs="Book Antiqua" w:ascii="Book Antiqua" w:hAnsi="Book Antiqua"/>
          <w:i/>
          <w:iCs/>
        </w:rPr>
        <w:t>"Elements of Financial Statements"</w:t>
      </w:r>
      <w:r>
        <w:rPr>
          <w:rFonts w:cs="Book Antiqua" w:ascii="Book Antiqua" w:hAnsi="Book Antiqua"/>
        </w:rPr>
        <w:t xml:space="preserve">, Appendix B </w:t>
      </w:r>
      <w:r>
        <w:rPr>
          <w:color w:val="0000FF"/>
        </w:rPr>
        <w:drawing>
          <wp:inline distT="0" distB="0" distL="0" distR="0">
            <wp:extent cx="114300" cy="133350"/>
            <wp:effectExtent l="0" t="0" r="0" b="0"/>
            <wp:docPr id="97" name="Image95" descr="" title="">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5" descr="" title="">
                      <a:hlinkClick r:id="rId195"/>
                    </pic:cNvPr>
                    <pic:cNvPicPr>
                      <a:picLocks noChangeAspect="1" noChangeArrowheads="1"/>
                    </pic:cNvPicPr>
                  </pic:nvPicPr>
                  <pic:blipFill>
                    <a:blip r:embed="rId194"/>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the FASB addressed the manner in which an undivided interest meets the definition of an asset:</w:t>
      </w:r>
      <w:r>
        <w:rPr/>
        <w:t xml:space="preserve"> </w:t>
      </w:r>
    </w:p>
    <w:p>
      <w:pPr>
        <w:pStyle w:val="Normal"/>
        <w:ind w:start="720" w:end="0"/>
        <w:rPr/>
      </w:pPr>
      <w:r>
        <w:rPr>
          <w:rFonts w:cs="Book Antiqua" w:ascii="Book Antiqua" w:hAnsi="Book Antiqua"/>
          <w:sz w:val="20"/>
          <w:szCs w:val="20"/>
        </w:rPr>
        <w:t xml:space="preserve">185. The definition of assets focuses primarily on the future economic benefit to which an entity has access and only secondarily on the physical things and other agents that provide future economic benefits. Many physical things and other agents are in effect bundles of future economic benefits that can be unbundled in various ways, and two or more entities may have different future economic benefits from the same agent at the same time or the same continuing future economic benefit at different times. For example, two or more entities may have undivided interests in a parcel of land. Each has a right to future economic benefit that may qualify as an asset under the definition in paragraph 25 </w:t>
      </w:r>
      <w:r>
        <w:rPr>
          <w:color w:val="0000FF"/>
        </w:rPr>
        <w:drawing>
          <wp:inline distT="0" distB="0" distL="0" distR="0">
            <wp:extent cx="114300" cy="133350"/>
            <wp:effectExtent l="0" t="0" r="0" b="0"/>
            <wp:docPr id="98" name="Image96" descr="" title="">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6" descr="" title="">
                      <a:hlinkClick r:id="rId197"/>
                    </pic:cNvPr>
                    <pic:cNvPicPr>
                      <a:picLocks noChangeAspect="1" noChangeArrowheads="1"/>
                    </pic:cNvPicPr>
                  </pic:nvPicPr>
                  <pic:blipFill>
                    <a:blip r:embed="rId196"/>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sz w:val="20"/>
          <w:szCs w:val="20"/>
        </w:rPr>
        <w:t>, even though the right of each is subject at least to some extent to the rights of the other(s). Or, one entity may have the right to the interest from an investment, while another has the right to the principal. Leases are common examples of agreements that unbundle the future economic benefits of a single property to give a lessee a right to possess and use the property and give a lessor a right to receive rents and a right to the residual value. Moreover, a mortgagee may also have a right to receive periodic payments that is secured by the leased property.</w:t>
      </w:r>
    </w:p>
    <w:p>
      <w:pPr>
        <w:pStyle w:val="Normal"/>
        <w:rPr>
          <w:rFonts w:ascii="Book Antiqua" w:hAnsi="Book Antiqua" w:cs="Book Antiqua"/>
        </w:rPr>
      </w:pPr>
      <w:r>
        <w:rPr>
          <w:rFonts w:cs="Book Antiqua" w:ascii="Book Antiqua" w:hAnsi="Book Antiqua"/>
        </w:rPr>
        <w:t>3 Under current literature it is only possible to have a lease where there is an agreement conveying the right to use land and/or a depreciable asset. But the identification of the depreciable asset is not always straightforward. Paragraph 64 of Statement 13 sets out the FASB's reasoning as to why nuclear fuel leases meet the definition of a lease.</w:t>
      </w:r>
    </w:p>
    <w:p>
      <w:pPr>
        <w:pStyle w:val="Normal"/>
        <w:ind w:start="720" w:end="0"/>
        <w:rPr>
          <w:rFonts w:ascii="Book Antiqua" w:hAnsi="Book Antiqua" w:cs="Book Antiqua"/>
          <w:sz w:val="20"/>
          <w:szCs w:val="20"/>
        </w:rPr>
      </w:pPr>
      <w:r>
        <w:rPr>
          <w:rFonts w:cs="Book Antiqua" w:ascii="Book Antiqua" w:hAnsi="Book Antiqua"/>
          <w:sz w:val="20"/>
          <w:szCs w:val="20"/>
        </w:rPr>
        <w:t>Some respondents took the position that nuclear fuel leases, sometimes called "heat supply" or "burn up" contracts, should be excluded from the definition of a lease on the grounds that such agreements are of the same nature as take-or-pay contracts to supply other types of fuel such as coal or oil which are excluded. The Board's conclusion that nuclear fuel leases meet the definition of a lease as expressed in paragraph 1 is based on the fact that under present generally accepted accounting principles a nuclear fuel installation constitutes a depreciable asset. Thus, a nuclear fuel lease conveys the right to use a depreciable asset whereas contracts to supply coal or oil do not. The fact that the latter contracts may be take-or-pay, in the Board's view, is irrelevant to this central point.</w:t>
      </w:r>
    </w:p>
    <w:p>
      <w:pPr>
        <w:pStyle w:val="Normal"/>
        <w:rPr/>
      </w:pPr>
      <w:r>
        <w:rPr>
          <w:rFonts w:cs="Book Antiqua" w:ascii="Book Antiqua" w:hAnsi="Book Antiqua"/>
        </w:rPr>
        <w:t xml:space="preserve">4 Power purchase contracts are an example of an arrangement where the total power out put of a unit may be allocated between different parties and the arrangement between the producer and each party can constitute a lease. The following is an extract from Interpretation 1-4 </w:t>
      </w:r>
      <w:r>
        <w:rPr>
          <w:color w:val="0000FF"/>
        </w:rPr>
        <w:drawing>
          <wp:inline distT="0" distB="0" distL="0" distR="0">
            <wp:extent cx="114300" cy="133350"/>
            <wp:effectExtent l="0" t="0" r="0" b="0"/>
            <wp:docPr id="99" name="Image97" descr="" title="">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7" descr="" title="">
                      <a:hlinkClick r:id="rId199"/>
                    </pic:cNvPr>
                    <pic:cNvPicPr>
                      <a:picLocks noChangeAspect="1" noChangeArrowheads="1"/>
                    </pic:cNvPicPr>
                  </pic:nvPicPr>
                  <pic:blipFill>
                    <a:blip r:embed="rId198"/>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from Arthur Andersen's publication </w:t>
      </w:r>
      <w:r>
        <w:rPr>
          <w:rFonts w:cs="Book Antiqua" w:ascii="Book Antiqua" w:hAnsi="Book Antiqua"/>
          <w:i/>
          <w:iCs/>
        </w:rPr>
        <w:t>Accounting for Leases</w:t>
      </w:r>
      <w:r>
        <w:rPr>
          <w:rFonts w:cs="Book Antiqua" w:ascii="Book Antiqua" w:hAnsi="Book Antiqua"/>
        </w:rPr>
        <w:t>:</w:t>
      </w:r>
    </w:p>
    <w:p>
      <w:pPr>
        <w:pStyle w:val="Normal"/>
        <w:ind w:start="720" w:end="0"/>
        <w:rPr>
          <w:rFonts w:ascii="Book Antiqua" w:hAnsi="Book Antiqua" w:cs="Book Antiqua"/>
          <w:sz w:val="20"/>
          <w:szCs w:val="20"/>
        </w:rPr>
      </w:pPr>
      <w:r>
        <w:rPr>
          <w:rFonts w:cs="Book Antiqua" w:ascii="Book Antiqua" w:hAnsi="Book Antiqua"/>
          <w:sz w:val="20"/>
          <w:szCs w:val="20"/>
        </w:rPr>
        <w:t>Purchasers of power under contracts that specify a level of power to be made available for a specific time period usually account for such contracts as purchase commitments with no recognition of an asset for the right to receive power and no recognition of a liability for the obligation to make payments (that is, the contracts are accounted for as executory agreements).</w:t>
      </w:r>
    </w:p>
    <w:p>
      <w:pPr>
        <w:pStyle w:val="Normal"/>
        <w:ind w:start="720" w:end="0"/>
        <w:rPr>
          <w:rFonts w:ascii="Book Antiqua" w:hAnsi="Book Antiqua" w:cs="Book Antiqua"/>
          <w:sz w:val="20"/>
          <w:szCs w:val="20"/>
        </w:rPr>
      </w:pPr>
      <w:r>
        <w:rPr>
          <w:rFonts w:cs="Book Antiqua" w:ascii="Book Antiqua" w:hAnsi="Book Antiqua"/>
          <w:sz w:val="20"/>
          <w:szCs w:val="20"/>
        </w:rPr>
        <w:t>However, some power purchase contracts may have characteristics similar to a lease in that the contract confers to the purchaser the right to use specific property, plant and equipment. Factors indicating that a power purchase contract is, in substance, a lease include the following:</w:t>
      </w:r>
    </w:p>
    <w:p>
      <w:pPr>
        <w:pStyle w:val="Normal"/>
        <w:numPr>
          <w:ilvl w:val="1"/>
          <w:numId w:val="16"/>
        </w:numPr>
        <w:spacing w:before="100" w:after="100"/>
        <w:rPr/>
      </w:pPr>
      <w:r>
        <w:rPr>
          <w:rFonts w:cs="Book Antiqua" w:ascii="Book Antiqua" w:hAnsi="Book Antiqua"/>
          <w:sz w:val="20"/>
          <w:szCs w:val="20"/>
        </w:rPr>
        <w:t>The contract specifies the generating facility or group of generating facilities that will make power available, or the terms of the contract allow for the identification of the specific facility to be utilized to provide the power. The amount of power to be purchased varies with the level of power made available from the specified facilities. For example, the contracted power is "80 percent of the power made available from Unit No. 4."</w:t>
      </w:r>
    </w:p>
    <w:p>
      <w:pPr>
        <w:pStyle w:val="Normal"/>
        <w:numPr>
          <w:ilvl w:val="1"/>
          <w:numId w:val="9"/>
        </w:numPr>
        <w:spacing w:before="100" w:after="100"/>
        <w:rPr/>
      </w:pPr>
      <w:r>
        <w:rPr>
          <w:rFonts w:cs="Book Antiqua" w:ascii="Book Antiqua" w:hAnsi="Book Antiqua"/>
          <w:sz w:val="20"/>
          <w:szCs w:val="20"/>
        </w:rPr>
        <w:t>The purchaser of the power is involved in the operation of the facility. For example, plant management and operators are employees of the purchaser of the power or the purchaser of the power must approve operating policies and procedures.</w:t>
      </w:r>
    </w:p>
    <w:p>
      <w:pPr>
        <w:pStyle w:val="Normal"/>
        <w:numPr>
          <w:ilvl w:val="1"/>
          <w:numId w:val="11"/>
        </w:numPr>
        <w:spacing w:before="100" w:after="100"/>
        <w:rPr/>
      </w:pPr>
      <w:r>
        <w:rPr>
          <w:rFonts w:cs="Book Antiqua" w:ascii="Book Antiqua" w:hAnsi="Book Antiqua"/>
          <w:sz w:val="20"/>
          <w:szCs w:val="20"/>
        </w:rPr>
        <w:t>Virtually all reasonably expected plant output is to be sold to the purchaser for a specific period of time.</w:t>
      </w:r>
    </w:p>
    <w:p>
      <w:pPr>
        <w:pStyle w:val="Normal"/>
        <w:numPr>
          <w:ilvl w:val="1"/>
          <w:numId w:val="14"/>
        </w:numPr>
        <w:spacing w:before="100" w:after="100"/>
        <w:rPr/>
      </w:pPr>
      <w:r>
        <w:rPr>
          <w:rFonts w:cs="Book Antiqua" w:ascii="Book Antiqua" w:hAnsi="Book Antiqua"/>
          <w:sz w:val="20"/>
          <w:szCs w:val="20"/>
        </w:rPr>
        <w:t>The power purchase agreement contains a bargain purchase option.</w:t>
      </w:r>
    </w:p>
    <w:p>
      <w:pPr>
        <w:pStyle w:val="Normal"/>
        <w:numPr>
          <w:ilvl w:val="1"/>
          <w:numId w:val="23"/>
        </w:numPr>
        <w:spacing w:before="100" w:after="100"/>
        <w:rPr/>
      </w:pPr>
      <w:r>
        <w:rPr>
          <w:rFonts w:cs="Book Antiqua" w:ascii="Book Antiqua" w:hAnsi="Book Antiqua"/>
          <w:sz w:val="20"/>
          <w:szCs w:val="20"/>
        </w:rPr>
        <w:t>The purchaser guarantees project debt and/or equity.</w:t>
      </w:r>
    </w:p>
    <w:p>
      <w:pPr>
        <w:pStyle w:val="Normal"/>
        <w:numPr>
          <w:ilvl w:val="1"/>
          <w:numId w:val="3"/>
        </w:numPr>
        <w:spacing w:before="100" w:after="100"/>
        <w:rPr/>
      </w:pPr>
      <w:r>
        <w:rPr>
          <w:rFonts w:cs="Book Antiqua" w:ascii="Book Antiqua" w:hAnsi="Book Antiqua"/>
          <w:sz w:val="20"/>
          <w:szCs w:val="20"/>
        </w:rPr>
        <w:t>The purchaser of the power bears significant risk related to the specified facility's operating costs. For example, a fixed amount is payable whether the generating facility is available for use 30 percent or 80 percent of the billing period and a variable amount is payable based on actual operating and maintenance costs.</w:t>
      </w:r>
    </w:p>
    <w:p>
      <w:pPr>
        <w:pStyle w:val="Normal"/>
        <w:numPr>
          <w:ilvl w:val="1"/>
          <w:numId w:val="4"/>
        </w:numPr>
        <w:spacing w:before="100" w:after="100"/>
        <w:rPr/>
      </w:pPr>
      <w:r>
        <w:rPr>
          <w:rFonts w:cs="Book Antiqua" w:ascii="Book Antiqua" w:hAnsi="Book Antiqua"/>
          <w:sz w:val="20"/>
          <w:szCs w:val="20"/>
        </w:rPr>
        <w:t>The purchaser of the power bears significant risk related to the construction of the specified facilities. For example, the power purchase contract is entered into prior to the construction of the generating facility and the price of the power is dependent in part on the ultimate cost of constructing the plant.</w:t>
      </w:r>
    </w:p>
    <w:p>
      <w:pPr>
        <w:pStyle w:val="Normal"/>
        <w:numPr>
          <w:ilvl w:val="1"/>
          <w:numId w:val="22"/>
        </w:numPr>
        <w:spacing w:before="100" w:after="100"/>
        <w:rPr/>
      </w:pPr>
      <w:r>
        <w:rPr>
          <w:rFonts w:cs="Book Antiqua" w:ascii="Book Antiqua" w:hAnsi="Book Antiqua"/>
          <w:sz w:val="20"/>
          <w:szCs w:val="20"/>
        </w:rPr>
        <w:t>The power purchaser sets operating policies and procedures and makes significant decisions affecting operations (such as controlling dispatch and downtime) of the plant.</w:t>
      </w:r>
    </w:p>
    <w:p>
      <w:pPr>
        <w:pStyle w:val="Normal"/>
        <w:numPr>
          <w:ilvl w:val="1"/>
          <w:numId w:val="21"/>
        </w:numPr>
        <w:spacing w:before="100" w:after="100"/>
        <w:rPr/>
      </w:pPr>
      <w:r>
        <w:rPr>
          <w:rFonts w:cs="Book Antiqua" w:ascii="Book Antiqua" w:hAnsi="Book Antiqua"/>
          <w:sz w:val="20"/>
          <w:szCs w:val="20"/>
        </w:rPr>
        <w:t>The power purchaser bears the risk of plant financing, such as changes in pricing under the contract in response to changes in interest rates, inflation, fuel prices and availability, technology, and the useful life of the plant.</w:t>
      </w:r>
    </w:p>
    <w:p>
      <w:pPr>
        <w:pStyle w:val="Normal"/>
        <w:spacing w:before="0" w:after="240"/>
        <w:ind w:start="720" w:end="0"/>
        <w:rPr>
          <w:rFonts w:ascii="Book Antiqua" w:hAnsi="Book Antiqua" w:cs="Book Antiqua"/>
          <w:sz w:val="20"/>
          <w:szCs w:val="20"/>
        </w:rPr>
      </w:pPr>
      <w:r>
        <w:rPr>
          <w:rFonts w:cs="Book Antiqua" w:ascii="Book Antiqua" w:hAnsi="Book Antiqua"/>
          <w:sz w:val="20"/>
          <w:szCs w:val="20"/>
        </w:rPr>
        <w:t>Although the determination of whether a power purchase contract is an executory agreement or a lease is a judgmental decision that should be based on the substance of the contract, the presence of any one of the first five factors creates a strong presumption that the contract is a lease. The fact that an agreement is labeled a "power purchase agreement" is not conclusive. If a contract "conveys the right to use property, plant and equipment," it should be accounted for as a lease.</w:t>
      </w:r>
    </w:p>
    <w:p>
      <w:pPr>
        <w:pStyle w:val="Normal"/>
        <w:rPr/>
      </w:pPr>
      <w:r>
        <w:rPr>
          <w:rFonts w:cs="Book Antiqua" w:ascii="Book Antiqua" w:hAnsi="Book Antiqua"/>
        </w:rPr>
        <w:t xml:space="preserve">(Added December 2000 </w:t>
      </w:r>
      <w:r>
        <w:rPr>
          <w:color w:val="0000FF"/>
        </w:rPr>
        <w:drawing>
          <wp:inline distT="0" distB="0" distL="0" distR="0">
            <wp:extent cx="114300" cy="133350"/>
            <wp:effectExtent l="0" t="0" r="0" b="0"/>
            <wp:docPr id="100" name="Image98" descr="" title="">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8" descr="" title="">
                      <a:hlinkClick r:id="rId201"/>
                    </pic:cNvPr>
                    <pic:cNvPicPr>
                      <a:picLocks noChangeAspect="1" noChangeArrowheads="1"/>
                    </pic:cNvPicPr>
                  </pic:nvPicPr>
                  <pic:blipFill>
                    <a:blip r:embed="rId200"/>
                    <a:srcRect l="-314" t="-270" r="-314" b="-270"/>
                    <a:stretch>
                      <a:fillRect/>
                    </a:stretch>
                  </pic:blipFill>
                  <pic:spPr bwMode="auto">
                    <a:xfrm>
                      <a:off x="0" y="0"/>
                      <a:ext cx="114300" cy="133350"/>
                    </a:xfrm>
                    <a:prstGeom prst="rect">
                      <a:avLst/>
                    </a:prstGeom>
                    <a:noFill/>
                  </pic:spPr>
                </pic:pic>
              </a:graphicData>
            </a:graphic>
          </wp:inline>
        </w:drawing>
      </w:r>
      <w:r>
        <w:rPr>
          <w:rFonts w:cs="Arial" w:ascii="Arial" w:hAnsi="Arial"/>
          <w:sz w:val="20"/>
          <w:szCs w:val="20"/>
        </w:rPr>
        <w:t>)</w:t>
      </w:r>
      <w:r>
        <w:rPr/>
        <w:br/>
        <w:br/>
      </w:r>
      <w:r>
        <w:rPr>
          <w:rFonts w:cs="Book Antiqua" w:ascii="Book Antiqua" w:hAnsi="Book Antiqua"/>
          <w:b/>
          <w:bCs/>
        </w:rPr>
        <w:t>Appendix 3</w:t>
      </w:r>
      <w:r>
        <w:rPr/>
        <w:br/>
        <w:br/>
      </w:r>
      <w:r>
        <w:rPr>
          <w:rFonts w:cs="Book Antiqua" w:ascii="Book Antiqua" w:hAnsi="Book Antiqua"/>
          <w:b/>
          <w:bCs/>
        </w:rPr>
        <w:t>Determining the Nature of an IRU</w:t>
      </w:r>
      <w:r>
        <w:rPr/>
        <w:br/>
        <w:br/>
      </w:r>
      <w:r>
        <w:rPr>
          <w:rFonts w:cs="Book Antiqua" w:ascii="Book Antiqua" w:hAnsi="Book Antiqua"/>
        </w:rPr>
        <w:t xml:space="preserve">The following chart provides the decision points for determining the nature of an IRU from the </w:t>
      </w:r>
      <w:r>
        <w:rPr>
          <w:rFonts w:cs="Book Antiqua" w:ascii="Book Antiqua" w:hAnsi="Book Antiqua"/>
          <w:u w:val="single"/>
        </w:rPr>
        <w:t>seller's</w:t>
      </w:r>
      <w:r>
        <w:rPr>
          <w:rFonts w:cs="Book Antiqua" w:ascii="Book Antiqua" w:hAnsi="Book Antiqua"/>
        </w:rPr>
        <w:t xml:space="preserve"> perspective. Due to the complexity of IRU contracts, the chart should only be used as a tool to aid in the evaluation of whether an IRU contract is a lease. The chart addresses only the classification of a contract and, not, for example, whether revenue recognition is appropriate.</w:t>
      </w:r>
      <w:r>
        <w:rPr/>
        <w:br/>
        <w:br/>
      </w:r>
      <w:r>
        <w:rPr>
          <w:rFonts w:cs="Book Antiqua" w:ascii="Book Antiqua" w:hAnsi="Book Antiqua"/>
        </w:rPr>
        <w:t xml:space="preserve">IRUs should be evaluated to determine the nature of the interests and rights conveyed in the contract. For example, a contract may include rights to use the fiber (both subsea and land-based), an implicit or explicit right to use the land under which the fiber is laid, and the right to use the equipment in the landing station. As a result, the contract may need to be separated into its discrete components. Paragraph 27 </w:t>
      </w:r>
      <w:r>
        <w:rPr>
          <w:color w:val="0000FF"/>
        </w:rPr>
        <w:drawing>
          <wp:inline distT="0" distB="0" distL="0" distR="0">
            <wp:extent cx="114300" cy="133350"/>
            <wp:effectExtent l="0" t="0" r="0" b="0"/>
            <wp:docPr id="101" name="Image99" descr="" titl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99" descr="" title="">
                      <a:hlinkClick r:id="rId203"/>
                    </pic:cNvPr>
                    <pic:cNvPicPr>
                      <a:picLocks noChangeAspect="1" noChangeArrowheads="1"/>
                    </pic:cNvPicPr>
                  </pic:nvPicPr>
                  <pic:blipFill>
                    <a:blip r:embed="rId202"/>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of Statement 13 explicitly states that payments for lease contracts that involve both real estate (including integral equipment) and equipment should be allocated and separately considered. Further, we believe SOP 81-1 </w:t>
      </w:r>
      <w:r>
        <w:rPr>
          <w:color w:val="0000FF"/>
        </w:rPr>
        <w:drawing>
          <wp:inline distT="0" distB="0" distL="0" distR="0">
            <wp:extent cx="114300" cy="133350"/>
            <wp:effectExtent l="0" t="0" r="0" b="0"/>
            <wp:docPr id="102" name="Image100" descr="" title="">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0" descr="" title="">
                      <a:hlinkClick r:id="rId205"/>
                    </pic:cNvPr>
                    <pic:cNvPicPr>
                      <a:picLocks noChangeAspect="1" noChangeArrowheads="1"/>
                    </pic:cNvPicPr>
                  </pic:nvPicPr>
                  <pic:blipFill>
                    <a:blip r:embed="rId204"/>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provides an appropriate model for determining whether a single contract should be separated into discrete components (refer to section 2.D.1., "Types of Lease </w:t>
      </w:r>
      <w:r>
        <w:rPr>
          <w:color w:val="0000FF"/>
        </w:rPr>
        <w:drawing>
          <wp:inline distT="0" distB="0" distL="0" distR="0">
            <wp:extent cx="114300" cy="133350"/>
            <wp:effectExtent l="0" t="0" r="0" b="0"/>
            <wp:docPr id="103" name="Image101" descr="" title="">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1" descr="" title="">
                      <a:hlinkClick r:id="rId207"/>
                    </pic:cNvPr>
                    <pic:cNvPicPr>
                      <a:picLocks noChangeAspect="1" noChangeArrowheads="1"/>
                    </pic:cNvPicPr>
                  </pic:nvPicPr>
                  <pic:blipFill>
                    <a:blip r:embed="rId206"/>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w:t>
      </w:r>
      <w:r>
        <w:rPr/>
        <w:br/>
        <w:br/>
      </w:r>
      <w:r>
        <w:rPr>
          <w:rFonts w:cs="Book Antiqua" w:ascii="Book Antiqua" w:hAnsi="Book Antiqua"/>
        </w:rPr>
        <w:t>We understand that in an IRU, generally, the land component is less than 25% of the fair value of the total contract, such that the contract is accounted for as a single unit. The chart below is based on that assumption. For purposes of this chart, each component of a contract that may require separate consideration is referred to as the "contract" or the "lease."</w:t>
      </w:r>
      <w:r>
        <w:rPr/>
        <w:br/>
        <w:br/>
      </w:r>
      <w:r>
        <w:rPr/>
        <w:drawing>
          <wp:inline distT="0" distB="0" distL="0" distR="0">
            <wp:extent cx="5353050" cy="3714750"/>
            <wp:effectExtent l="0" t="0" r="0" b="0"/>
            <wp:docPr id="104" nam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18" descr="" title=""/>
                    <pic:cNvPicPr>
                      <a:picLocks noChangeAspect="1" noChangeArrowheads="1"/>
                    </pic:cNvPicPr>
                  </pic:nvPicPr>
                  <pic:blipFill>
                    <a:blip r:embed="rId208"/>
                    <a:srcRect l="-7" t="-10" r="-7" b="-10"/>
                    <a:stretch>
                      <a:fillRect/>
                    </a:stretch>
                  </pic:blipFill>
                  <pic:spPr bwMode="auto">
                    <a:xfrm>
                      <a:off x="0" y="0"/>
                      <a:ext cx="5353050" cy="3714750"/>
                    </a:xfrm>
                    <a:prstGeom prst="rect">
                      <a:avLst/>
                    </a:prstGeom>
                    <a:noFill/>
                  </pic:spPr>
                </pic:pic>
              </a:graphicData>
            </a:graphic>
          </wp:inline>
        </w:drawing>
      </w:r>
      <w:r>
        <w:rPr/>
        <w:br/>
        <w:br/>
      </w:r>
      <w:r>
        <w:rPr>
          <w:rFonts w:cs="Book Antiqua" w:ascii="Book Antiqua" w:hAnsi="Book Antiqua"/>
          <w:b/>
          <w:bCs/>
        </w:rPr>
        <w:t>Decision Points:</w:t>
      </w:r>
      <w:r>
        <w:rPr/>
        <w:br/>
        <w:br/>
      </w:r>
      <w:r>
        <w:rPr>
          <w:rFonts w:cs="Book Antiqua" w:ascii="Book Antiqua" w:hAnsi="Book Antiqua"/>
        </w:rPr>
        <w:t xml:space="preserve">A. Does the contract convey the right to use specific property, plant, or equipment for a stated period of time? </w:t>
      </w:r>
      <w:r>
        <w:rPr/>
        <w:br/>
        <w:br/>
      </w:r>
      <w:r>
        <w:rPr>
          <w:rFonts w:cs="Book Antiqua" w:ascii="Book Antiqua" w:hAnsi="Book Antiqua"/>
        </w:rPr>
        <w:t xml:space="preserve">B. Does the lease meet one or more of the criteria in paragraph 7 and both criteria in paragraph 8 </w:t>
      </w:r>
      <w:r>
        <w:rPr>
          <w:color w:val="0000FF"/>
        </w:rPr>
        <w:drawing>
          <wp:inline distT="0" distB="0" distL="0" distR="0">
            <wp:extent cx="114300" cy="133350"/>
            <wp:effectExtent l="0" t="0" r="0" b="0"/>
            <wp:docPr id="105" name="Image102" descr="" title="">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2" descr="" title="">
                      <a:hlinkClick r:id="rId210"/>
                    </pic:cNvPr>
                    <pic:cNvPicPr>
                      <a:picLocks noChangeAspect="1" noChangeArrowheads="1"/>
                    </pic:cNvPicPr>
                  </pic:nvPicPr>
                  <pic:blipFill>
                    <a:blip r:embed="rId209"/>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of Statement 13?</w:t>
      </w:r>
      <w:r>
        <w:rPr/>
        <w:br/>
        <w:br/>
      </w:r>
      <w:r>
        <w:rPr>
          <w:rFonts w:cs="Book Antiqua" w:ascii="Book Antiqua" w:hAnsi="Book Antiqua"/>
        </w:rPr>
        <w:t>C. Is the fair value of the leased property at inception of the lease equal to its cost or carrying amount?</w:t>
      </w:r>
      <w:r>
        <w:rPr/>
        <w:br/>
        <w:br/>
      </w:r>
      <w:r>
        <w:rPr>
          <w:rFonts w:cs="Book Antiqua" w:ascii="Book Antiqua" w:hAnsi="Book Antiqua"/>
        </w:rPr>
        <w:t>D. Is the contract a lease of real estate (which includes integral equipment, as defined)?</w:t>
      </w:r>
      <w:r>
        <w:rPr/>
        <w:br/>
        <w:br/>
      </w:r>
      <w:r>
        <w:rPr>
          <w:rFonts w:cs="Book Antiqua" w:ascii="Book Antiqua" w:hAnsi="Book Antiqua"/>
        </w:rPr>
        <w:t xml:space="preserve">E. Does the lease transfer ownership (legal title) to the lessee by the end of the lease term? </w:t>
      </w:r>
      <w:r>
        <w:rPr/>
        <w:br/>
        <w:br/>
      </w:r>
      <w:r>
        <w:rPr>
          <w:rFonts w:cs="Book Antiqua" w:ascii="Book Antiqua" w:hAnsi="Book Antiqua"/>
        </w:rPr>
        <w:t xml:space="preserve">F. Does the lease meet all of the continuing involvement tests of Statement 66 (paragraphs 5 </w:t>
      </w:r>
      <w:r>
        <w:rPr>
          <w:color w:val="0000FF"/>
        </w:rPr>
        <w:drawing>
          <wp:inline distT="0" distB="0" distL="0" distR="0">
            <wp:extent cx="114300" cy="133350"/>
            <wp:effectExtent l="0" t="0" r="0" b="0"/>
            <wp:docPr id="106" name="Image103" descr="" title="">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3" descr="" title="">
                      <a:hlinkClick r:id="rId212"/>
                    </pic:cNvPr>
                    <pic:cNvPicPr>
                      <a:picLocks noChangeAspect="1" noChangeArrowheads="1"/>
                    </pic:cNvPicPr>
                  </pic:nvPicPr>
                  <pic:blipFill>
                    <a:blip r:embed="rId211"/>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 xml:space="preserve">, 25-43, 31, and 33 </w:t>
      </w:r>
      <w:r>
        <w:rPr>
          <w:color w:val="0000FF"/>
        </w:rPr>
        <w:drawing>
          <wp:inline distT="0" distB="0" distL="0" distR="0">
            <wp:extent cx="114300" cy="133350"/>
            <wp:effectExtent l="0" t="0" r="0" b="0"/>
            <wp:docPr id="107" name="Image104" descr="" title="">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4" descr="" title="">
                      <a:hlinkClick r:id="rId214"/>
                    </pic:cNvPr>
                    <pic:cNvPicPr>
                      <a:picLocks noChangeAspect="1" noChangeArrowheads="1"/>
                    </pic:cNvPicPr>
                  </pic:nvPicPr>
                  <pic:blipFill>
                    <a:blip r:embed="rId213"/>
                    <a:srcRect l="-314" t="-270" r="-314" b="-270"/>
                    <a:stretch>
                      <a:fillRect/>
                    </a:stretch>
                  </pic:blipFill>
                  <pic:spPr bwMode="auto">
                    <a:xfrm>
                      <a:off x="0" y="0"/>
                      <a:ext cx="114300" cy="133350"/>
                    </a:xfrm>
                    <a:prstGeom prst="rect">
                      <a:avLst/>
                    </a:prstGeom>
                    <a:noFill/>
                  </pic:spPr>
                </pic:pic>
              </a:graphicData>
            </a:graphic>
          </wp:inline>
        </w:drawing>
      </w:r>
      <w:r>
        <w:rPr>
          <w:rFonts w:cs="Book Antiqua" w:ascii="Book Antiqua" w:hAnsi="Book Antiqua"/>
        </w:rPr>
        <w:t>)?</w:t>
      </w:r>
      <w:r>
        <w:rPr/>
        <w:br/>
        <w:br/>
      </w:r>
      <w:r>
        <w:rPr>
          <w:rFonts w:cs="Book Antiqua" w:ascii="Book Antiqua" w:hAnsi="Book Antiqua"/>
          <w:b/>
          <w:bCs/>
        </w:rPr>
        <w:t>Type of Contract:</w:t>
      </w:r>
    </w:p>
    <w:p>
      <w:pPr>
        <w:pStyle w:val="Normal"/>
        <w:ind w:start="720" w:end="0"/>
        <w:rPr/>
      </w:pPr>
      <w:r>
        <w:rPr/>
        <w:t xml:space="preserve">1. </w:t>
      </w:r>
      <w:r>
        <w:rPr>
          <w:rFonts w:cs="Book Antiqua" w:ascii="Book Antiqua" w:hAnsi="Book Antiqua"/>
        </w:rPr>
        <w:t>Service contract.</w:t>
      </w:r>
      <w:r>
        <w:rPr/>
        <w:t xml:space="preserve"> </w:t>
      </w:r>
    </w:p>
    <w:p>
      <w:pPr>
        <w:pStyle w:val="NormalWeb"/>
        <w:spacing w:before="0" w:after="0"/>
        <w:ind w:start="720" w:end="0"/>
        <w:rPr/>
      </w:pPr>
      <w:r>
        <w:rPr/>
        <w:t xml:space="preserve">2. </w:t>
      </w:r>
      <w:r>
        <w:rPr>
          <w:rFonts w:cs="Book Antiqua" w:ascii="Book Antiqua" w:hAnsi="Book Antiqua"/>
        </w:rPr>
        <w:t>Sales-type lease.</w:t>
      </w:r>
      <w:r>
        <w:rPr/>
        <w:t xml:space="preserve"> </w:t>
      </w:r>
    </w:p>
    <w:p>
      <w:pPr>
        <w:pStyle w:val="NormalWeb"/>
        <w:spacing w:before="0" w:after="0"/>
        <w:ind w:start="720" w:end="0"/>
        <w:rPr/>
      </w:pPr>
      <w:r>
        <w:rPr/>
        <w:t xml:space="preserve">3. </w:t>
      </w:r>
      <w:r>
        <w:rPr>
          <w:rFonts w:cs="Book Antiqua" w:ascii="Book Antiqua" w:hAnsi="Book Antiqua"/>
        </w:rPr>
        <w:t>Direct financing lease.</w:t>
      </w:r>
      <w:r>
        <w:rPr/>
        <w:t xml:space="preserve"> </w:t>
      </w:r>
    </w:p>
    <w:p>
      <w:pPr>
        <w:pStyle w:val="NormalWeb"/>
        <w:spacing w:before="0" w:after="0"/>
        <w:ind w:start="720" w:end="0"/>
        <w:rPr/>
      </w:pPr>
      <w:r>
        <w:rPr/>
        <w:t xml:space="preserve">4. </w:t>
      </w:r>
      <w:r>
        <w:rPr>
          <w:rFonts w:cs="Book Antiqua" w:ascii="Book Antiqua" w:hAnsi="Book Antiqua"/>
        </w:rPr>
        <w:t>Operating lease.</w:t>
      </w:r>
      <w:r>
        <w:rPr/>
        <w:t xml:space="preserve"> </w:t>
      </w:r>
    </w:p>
    <w:p>
      <w:pPr>
        <w:pStyle w:val="NormalWeb"/>
        <w:spacing w:before="0" w:after="0"/>
        <w:ind w:start="720" w:end="0"/>
        <w:rPr/>
      </w:pPr>
      <w:r>
        <w:rPr/>
        <w:t xml:space="preserve">5. </w:t>
      </w:r>
      <w:r>
        <w:rPr>
          <w:rFonts w:cs="Book Antiqua" w:ascii="Book Antiqua" w:hAnsi="Book Antiqua"/>
        </w:rPr>
        <w:t>Account for as a financing, leasing, or profit-sharing arrangement in accordance with Statement 66.</w:t>
      </w:r>
    </w:p>
    <w:p>
      <w:pPr>
        <w:pStyle w:val="Normal"/>
        <w:rPr/>
      </w:pPr>
      <w:r>
        <w:rPr/>
        <w:br/>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Book Antiqua">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abstractNum>
  <w:abstractNum w:abstractNumId="1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5">
    <w:lvl w:ilvl="0">
      <w:start w:val="1"/>
      <w:numFmt w:val="bullet"/>
      <w:lvlText w:val=""/>
      <w:lvlJc w:val="start"/>
      <w:pPr>
        <w:tabs>
          <w:tab w:val="num" w:pos="720"/>
        </w:tabs>
        <w:ind w:start="720" w:hanging="360"/>
      </w:pPr>
      <w:rPr>
        <w:rFonts w:ascii="Symbol" w:hAnsi="Symbol" w:cs="Symbol" w:hint="default"/>
        <w:sz w:val="20"/>
      </w:rPr>
    </w:lvl>
  </w:abstractNum>
  <w:abstractNum w:abstractNumId="1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7">
    <w:lvl w:ilvl="0">
      <w:start w:val="1"/>
      <w:numFmt w:val="bullet"/>
      <w:lvlText w:val=""/>
      <w:lvlJc w:val="start"/>
      <w:pPr>
        <w:tabs>
          <w:tab w:val="num" w:pos="720"/>
        </w:tabs>
        <w:ind w:start="720" w:hanging="360"/>
      </w:pPr>
      <w:rPr>
        <w:rFonts w:ascii="Symbol" w:hAnsi="Symbol" w:cs="Symbol" w:hint="default"/>
        <w:sz w:val="20"/>
      </w:rPr>
    </w:lvl>
  </w:abstractNum>
  <w:abstractNum w:abstractNumId="1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9">
    <w:lvl w:ilvl="0">
      <w:start w:val="1"/>
      <w:numFmt w:val="bullet"/>
      <w:lvlText w:val=""/>
      <w:lvlJc w:val="start"/>
      <w:pPr>
        <w:tabs>
          <w:tab w:val="num" w:pos="720"/>
        </w:tabs>
        <w:ind w:start="720" w:hanging="360"/>
      </w:pPr>
      <w:rPr>
        <w:rFonts w:ascii="Symbol" w:hAnsi="Symbol" w:cs="Symbol" w:hint="default"/>
        <w:sz w:val="20"/>
      </w:rPr>
    </w:lvl>
  </w:abstractNum>
  <w:abstractNum w:abstractNumId="20">
    <w:lvl w:ilvl="0">
      <w:start w:val="1"/>
      <w:numFmt w:val="bullet"/>
      <w:lvlText w:val=""/>
      <w:lvlJc w:val="start"/>
      <w:pPr>
        <w:tabs>
          <w:tab w:val="num" w:pos="720"/>
        </w:tabs>
        <w:ind w:start="720" w:hanging="360"/>
      </w:pPr>
      <w:rPr>
        <w:rFonts w:ascii="Symbol" w:hAnsi="Symbol" w:cs="Symbol" w:hint="default"/>
        <w:sz w:val="20"/>
      </w:rPr>
    </w:lvl>
  </w:abstractNum>
  <w:abstractNum w:abstractNumId="2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sz w:val="20"/>
    </w:rPr>
  </w:style>
  <w:style w:type="character" w:styleId="WW8Num21z1">
    <w:name w:val="WW8Num21z1"/>
    <w:qFormat/>
    <w:rPr>
      <w:rFonts w:ascii="Courier New" w:hAnsi="Courier New" w:cs="Courier New"/>
      <w:sz w:val="20"/>
    </w:rPr>
  </w:style>
  <w:style w:type="character" w:styleId="WW8Num21z2">
    <w:name w:val="WW8Num21z2"/>
    <w:qFormat/>
    <w:rPr>
      <w:rFonts w:ascii="Wingdings" w:hAnsi="Wingdings" w:cs="Wingdings"/>
      <w:sz w:val="20"/>
    </w:rPr>
  </w:style>
  <w:style w:type="character" w:styleId="WW8Num22z0">
    <w:name w:val="WW8Num22z0"/>
    <w:qFormat/>
    <w:rPr>
      <w:rFonts w:ascii="Symbol" w:hAnsi="Symbol" w:cs="Symbol"/>
      <w:sz w:val="20"/>
    </w:rPr>
  </w:style>
  <w:style w:type="character" w:styleId="WW8Num22z1">
    <w:name w:val="WW8Num22z1"/>
    <w:qFormat/>
    <w:rPr>
      <w:rFonts w:ascii="Courier New" w:hAnsi="Courier New" w:cs="Courier New"/>
      <w:sz w:val="20"/>
    </w:rPr>
  </w:style>
  <w:style w:type="character" w:styleId="WW8Num22z2">
    <w:name w:val="WW8Num22z2"/>
    <w:qFormat/>
    <w:rPr>
      <w:rFonts w:ascii="Wingdings" w:hAnsi="Wingdings" w:cs="Wingdings"/>
      <w:sz w:val="20"/>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rm.arthurandersen.com/rschmgr.nsf/8cddd6fe80ca79c186256506005e1e84/cbd0305501167012862564cf0055223e?OpenDocument" TargetMode="External"/><Relationship Id="rId4" Type="http://schemas.openxmlformats.org/officeDocument/2006/relationships/image" Target="media/image1.png"/><Relationship Id="rId5" Type="http://schemas.openxmlformats.org/officeDocument/2006/relationships/hyperlink" Target="http://www.arm.arthurandersen.com/rschmgr.nsf/c2b0ddf05404e5ad072564d5007e122b/2048fb612e44e7aa86256ad30050bc74?OpenDocument" TargetMode="External"/><Relationship Id="rId6" Type="http://schemas.openxmlformats.org/officeDocument/2006/relationships/image" Target="media/image1.png"/><Relationship Id="rId7" Type="http://schemas.openxmlformats.org/officeDocument/2006/relationships/hyperlink" Target="http://www.arm.arthurandersen.com/rschmgr.nsf/c2b0ddf05404e5ad072564d5007e122b/a2483c1ba60b47fe062569b300559bdf?OpenDocument" TargetMode="External"/><Relationship Id="rId8" Type="http://schemas.openxmlformats.org/officeDocument/2006/relationships/image" Target="media/image1.png"/><Relationship Id="rId9" Type="http://schemas.openxmlformats.org/officeDocument/2006/relationships/hyperlink" Target="http://www.arm.arthurandersen.com/rschmgr.nsf/8cddd6fe80ca79c186256506005e1e84/39a16f5ec43d2625862564e2005a7ecd?OpenDocument" TargetMode="External"/><Relationship Id="rId10" Type="http://schemas.openxmlformats.org/officeDocument/2006/relationships/image" Target="media/image1.png"/><Relationship Id="rId11" Type="http://schemas.openxmlformats.org/officeDocument/2006/relationships/hyperlink" Target="http://www.arm.arthurandersen.com/rschmgr.nsf/a4c7dd742ee07e8686256497004b8894/2b9cb51a3f134b20862564ce0072e8c4?OpenDocument" TargetMode="External"/><Relationship Id="rId12" Type="http://schemas.openxmlformats.org/officeDocument/2006/relationships/image" Target="media/image1.png"/><Relationship Id="rId13" Type="http://schemas.openxmlformats.org/officeDocument/2006/relationships/hyperlink" Target="http://www.arm.arthurandersen.com/rschmgr.nsf/a4c7dd742ee07e8686256497004b8894/90154050a809bdb4062569b400529977?OpenDocument" TargetMode="External"/><Relationship Id="rId14" Type="http://schemas.openxmlformats.org/officeDocument/2006/relationships/image" Target="media/image1.png"/><Relationship Id="rId15" Type="http://schemas.openxmlformats.org/officeDocument/2006/relationships/hyperlink" Target="http://www.arm.arthurandersen.com/rschmgr.nsf/8cddd6fe80ca79c186256506005e1e84/3011b90fcbb018b3862564d50051e57a?OpenDocument" TargetMode="External"/><Relationship Id="rId16" Type="http://schemas.openxmlformats.org/officeDocument/2006/relationships/hyperlink" Target="http://www.iec.org/" TargetMode="External"/><Relationship Id="rId17" Type="http://schemas.openxmlformats.org/officeDocument/2006/relationships/image" Target="media/image1.png"/><Relationship Id="rId18" Type="http://schemas.openxmlformats.org/officeDocument/2006/relationships/hyperlink" Target="http://www.arm.arthurandersen.com/rschmgr.nsf/c2b0ddf05404e5ad072564d5007e122b/5bc6e4934f8d25b8862568af005bf9b3?OpenDocument" TargetMode="External"/><Relationship Id="rId19" Type="http://schemas.openxmlformats.org/officeDocument/2006/relationships/image" Target="media/image1.png"/><Relationship Id="rId20" Type="http://schemas.openxmlformats.org/officeDocument/2006/relationships/hyperlink" Target="http://www.arm.arthurandersen.com/rschmgr.nsf/686c86411637ff0d8625648000523d2b/91c07cb7cbbc4d2a862564c300478cbc?OpenDocument" TargetMode="External"/><Relationship Id="rId21" Type="http://schemas.openxmlformats.org/officeDocument/2006/relationships/image" Target="media/image1.png"/><Relationship Id="rId22" Type="http://schemas.openxmlformats.org/officeDocument/2006/relationships/hyperlink" Target="http://www.arm.arthurandersen.com/rschmgr.nsf/8cddd6fe80ca79c186256506005e1e84/b3c0772bb4f56aa9862564cf00726a85?OpenDocument" TargetMode="External"/><Relationship Id="rId23" Type="http://schemas.openxmlformats.org/officeDocument/2006/relationships/image" Target="media/image1.png"/><Relationship Id="rId24" Type="http://schemas.openxmlformats.org/officeDocument/2006/relationships/hyperlink" Target="http://www.arm.arthurandersen.com/rschmgr.nsf/8cddd6fe80ca79c186256506005e1e84/847fc6240d582e32862564e2005d7968?OpenDocument" TargetMode="External"/><Relationship Id="rId25" Type="http://schemas.openxmlformats.org/officeDocument/2006/relationships/image" Target="media/image1.png"/><Relationship Id="rId26" Type="http://schemas.openxmlformats.org/officeDocument/2006/relationships/hyperlink" Target="http://www.arm.arthurandersen.com/rschmgr.nsf/8cddd6fe80ca79c186256506005e1e84/5db9bf4d83d5e0b6862564d10055d46a?OpenDocument" TargetMode="External"/><Relationship Id="rId27" Type="http://schemas.openxmlformats.org/officeDocument/2006/relationships/image" Target="media/image1.png"/><Relationship Id="rId28" Type="http://schemas.openxmlformats.org/officeDocument/2006/relationships/hyperlink" Target="http://www.arm.arthurandersen.com/rschmgr.nsf/c2b0ddf05404e5ad072564d5007e122b/f52abc01ac16fe5986256a0100778db2?OpenDocument" TargetMode="External"/><Relationship Id="rId29" Type="http://schemas.openxmlformats.org/officeDocument/2006/relationships/image" Target="media/image1.png"/><Relationship Id="rId30" Type="http://schemas.openxmlformats.org/officeDocument/2006/relationships/hyperlink" Target="http://www.arm.arthurandersen.com/rschmgr.nsf/8cddd6fe80ca79c186256506005e1e84/045dd5e2a3de9b3e862564e2005a806d?OpenDocument" TargetMode="External"/><Relationship Id="rId31" Type="http://schemas.openxmlformats.org/officeDocument/2006/relationships/image" Target="media/image1.png"/><Relationship Id="rId32" Type="http://schemas.openxmlformats.org/officeDocument/2006/relationships/hyperlink" Target="http://www.arm.arthurandersen.com/rschmgr.nsf/c2b0ddf05404e5ad072564d5007e122b/599bbac1a240c78e86256809004fd069?OpenDocument" TargetMode="External"/><Relationship Id="rId33" Type="http://schemas.openxmlformats.org/officeDocument/2006/relationships/image" Target="media/image1.png"/><Relationship Id="rId34" Type="http://schemas.openxmlformats.org/officeDocument/2006/relationships/hyperlink" Target="http://www.arm.arthurandersen.com/rschmgr.nsf/a4c7dd742ee07e8686256497004b8894/2b9cb51a3f134b20862564ce0072e8c4?OpenDocument" TargetMode="External"/><Relationship Id="rId35" Type="http://schemas.openxmlformats.org/officeDocument/2006/relationships/image" Target="media/image1.png"/><Relationship Id="rId36" Type="http://schemas.openxmlformats.org/officeDocument/2006/relationships/hyperlink" Target="http://www.arm.arthurandersen.com/rschmgr.nsf/8cddd6fe80ca79c186256506005e1e84/13d39ae8bc6776ad86256935006fdf0a?OpenDocument" TargetMode="External"/><Relationship Id="rId37" Type="http://schemas.openxmlformats.org/officeDocument/2006/relationships/image" Target="media/image1.png"/><Relationship Id="rId38" Type="http://schemas.openxmlformats.org/officeDocument/2006/relationships/hyperlink" Target="http://www.arm.arthurandersen.com/rschmgr.nsf/a76acaf86ca58dc486256488007bf48f/84c5c8e71d6eb56486256977004c8f57?OpenDocument" TargetMode="External"/><Relationship Id="rId39" Type="http://schemas.openxmlformats.org/officeDocument/2006/relationships/image" Target="media/image1.png"/><Relationship Id="rId40" Type="http://schemas.openxmlformats.org/officeDocument/2006/relationships/hyperlink" Target="http://www.arm.arthurandersen.com/rschmgr.nsf/c2b0ddf05404e5ad072564d5007e122b/303b4582929d49838625697a0051e1cc?OpenDocument" TargetMode="External"/><Relationship Id="rId41" Type="http://schemas.openxmlformats.org/officeDocument/2006/relationships/image" Target="media/image1.png"/><Relationship Id="rId42" Type="http://schemas.openxmlformats.org/officeDocument/2006/relationships/hyperlink" Target="http://www.arm.arthurandersen.com/rschmgr.nsf/c2b0ddf05404e5ad072564d5007e122b/303b4582929d49838625697a0051e1cc?OpenDocument" TargetMode="External"/><Relationship Id="rId43" Type="http://schemas.openxmlformats.org/officeDocument/2006/relationships/image" Target="media/image1.png"/><Relationship Id="rId44" Type="http://schemas.openxmlformats.org/officeDocument/2006/relationships/hyperlink" Target="http://www.arm.arthurandersen.com/rschmgr.nsf/a4c7dd742ee07e8686256497004b8894/6aca7a2b37fb35d58625656300726ee9?OpenDocument" TargetMode="External"/><Relationship Id="rId45" Type="http://schemas.openxmlformats.org/officeDocument/2006/relationships/image" Target="media/image1.png"/><Relationship Id="rId46" Type="http://schemas.openxmlformats.org/officeDocument/2006/relationships/hyperlink" Target="http://www.arm.arthurandersen.com/rschmgr.nsf/8cddd6fe80ca79c186256506005e1e84/c95af73734980e60862568b000516a05?OpenDocument" TargetMode="External"/><Relationship Id="rId47" Type="http://schemas.openxmlformats.org/officeDocument/2006/relationships/image" Target="media/image1.png"/><Relationship Id="rId48" Type="http://schemas.openxmlformats.org/officeDocument/2006/relationships/hyperlink" Target="http://www.arm.arthurandersen.com/rschmgr.nsf/c2b0ddf05404e5ad072564d5007e122b/a2483c1ba60b47fe062569b300559bdf?OpenDocument" TargetMode="External"/><Relationship Id="rId49" Type="http://schemas.openxmlformats.org/officeDocument/2006/relationships/image" Target="media/image1.png"/><Relationship Id="rId50" Type="http://schemas.openxmlformats.org/officeDocument/2006/relationships/hyperlink" Target="http://www.arm.arthurandersen.com/rschmgr.nsf/8cddd6fe80ca79c186256506005e1e84/eac3bc63acd50590862567a700582010?OpenDocument" TargetMode="External"/><Relationship Id="rId51" Type="http://schemas.openxmlformats.org/officeDocument/2006/relationships/image" Target="media/image1.png"/><Relationship Id="rId52" Type="http://schemas.openxmlformats.org/officeDocument/2006/relationships/hyperlink" Target="http://www.arm.arthurandersen.com/rschmgr.nsf/8cddd6fe80ca79c186256506005e1e84/509e790fe589f5cf862564d0006f7a93?OpenDocument" TargetMode="External"/><Relationship Id="rId53" Type="http://schemas.openxmlformats.org/officeDocument/2006/relationships/image" Target="media/image1.png"/><Relationship Id="rId54" Type="http://schemas.openxmlformats.org/officeDocument/2006/relationships/hyperlink" Target="http://www.arm.arthurandersen.com/rschmgr.nsf/c2b0ddf05404e5ad072564d5007e122b/d41644b3a93072ec862567a8006de34c?OpenDocument" TargetMode="External"/><Relationship Id="rId55" Type="http://schemas.openxmlformats.org/officeDocument/2006/relationships/image" Target="media/image1.png"/><Relationship Id="rId56" Type="http://schemas.openxmlformats.org/officeDocument/2006/relationships/hyperlink" Target="http://www.arm.arthurandersen.com/rschmgr.nsf/c2b0ddf05404e5ad072564d5007e122b/bf665cc3bc39871c862567a8006b415b?OpenDocument" TargetMode="External"/><Relationship Id="rId57" Type="http://schemas.openxmlformats.org/officeDocument/2006/relationships/image" Target="media/image1.png"/><Relationship Id="rId58" Type="http://schemas.openxmlformats.org/officeDocument/2006/relationships/hyperlink" Target="http://www.arm.arthurandersen.com/rschmgr.nsf/8cddd6fe80ca79c186256506005e1e84/0cb582a3ef5511a0862568f700652fa8?OpenDocument" TargetMode="External"/><Relationship Id="rId59" Type="http://schemas.openxmlformats.org/officeDocument/2006/relationships/image" Target="media/image1.png"/><Relationship Id="rId60" Type="http://schemas.openxmlformats.org/officeDocument/2006/relationships/hyperlink" Target="http://www.arm.arthurandersen.com/rschmgr.nsf/8cddd6fe80ca79c186256506005e1e84/21114300eb70b5aa862564d4004c9bdd?OpenDocument" TargetMode="External"/><Relationship Id="rId61" Type="http://schemas.openxmlformats.org/officeDocument/2006/relationships/image" Target="media/image1.png"/><Relationship Id="rId62" Type="http://schemas.openxmlformats.org/officeDocument/2006/relationships/hyperlink" Target="http://www.arm.arthurandersen.com/rschmgr.nsf/8cddd6fe80ca79c186256506005e1e84/038d86709a8708a8862568f7005abe08?OpenDocument" TargetMode="External"/><Relationship Id="rId63" Type="http://schemas.openxmlformats.org/officeDocument/2006/relationships/image" Target="media/image1.png"/><Relationship Id="rId64" Type="http://schemas.openxmlformats.org/officeDocument/2006/relationships/hyperlink" Target="http://www.arm.arthurandersen.com/rschmgr.nsf/a4c7dd742ee07e8686256497004b8894/2b9cb51a3f134b20862564ce0072e8c4?OpenDocument" TargetMode="External"/><Relationship Id="rId65" Type="http://schemas.openxmlformats.org/officeDocument/2006/relationships/image" Target="media/image1.png"/><Relationship Id="rId66" Type="http://schemas.openxmlformats.org/officeDocument/2006/relationships/hyperlink" Target="http://www.arm.arthurandersen.com/rschmgr.nsf/8cddd6fe80ca79c186256506005e1e84/509e790fe589f5cf862564d0006f7a93?OpenDocument" TargetMode="External"/><Relationship Id="rId67" Type="http://schemas.openxmlformats.org/officeDocument/2006/relationships/image" Target="media/image1.png"/><Relationship Id="rId68" Type="http://schemas.openxmlformats.org/officeDocument/2006/relationships/hyperlink" Target="http://www.arm.arthurandersen.com/rschmgr.nsf/8cddd6fe80ca79c186256506005e1e84/d89538465af128e4862564e2005a801f?OpenDocument" TargetMode="External"/><Relationship Id="rId69" Type="http://schemas.openxmlformats.org/officeDocument/2006/relationships/image" Target="media/image1.png"/><Relationship Id="rId70" Type="http://schemas.openxmlformats.org/officeDocument/2006/relationships/hyperlink" Target="http://www.arm.arthurandersen.com/rschmgr.nsf/8cddd6fe80ca79c186256506005e1e84/daede0b97d163026862564e2005a7f47?OpenDocument" TargetMode="External"/><Relationship Id="rId71" Type="http://schemas.openxmlformats.org/officeDocument/2006/relationships/image" Target="media/image1.png"/><Relationship Id="rId72" Type="http://schemas.openxmlformats.org/officeDocument/2006/relationships/hyperlink" Target="http://www.arm.arthurandersen.com/rschmgr.nsf/8cddd6fe80ca79c186256506005e1e84/daede0b97d163026862564e2005a7f47?OpenDocument" TargetMode="External"/><Relationship Id="rId73" Type="http://schemas.openxmlformats.org/officeDocument/2006/relationships/image" Target="media/image1.png"/><Relationship Id="rId74" Type="http://schemas.openxmlformats.org/officeDocument/2006/relationships/hyperlink" Target="http://www.arm.arthurandersen.com/rschmgr.nsf/c2b0ddf05404e5ad072564d5007e122b/38b63b67e583064186256a9900744705?OpenDocument" TargetMode="External"/><Relationship Id="rId75" Type="http://schemas.openxmlformats.org/officeDocument/2006/relationships/image" Target="media/image1.png"/><Relationship Id="rId76" Type="http://schemas.openxmlformats.org/officeDocument/2006/relationships/hyperlink" Target="http://www.arm.arthurandersen.com/rschmgr.nsf/8cddd6fe80ca79c186256506005e1e84/daede0b97d163026862564e2005a7f47?OpenDocument" TargetMode="External"/><Relationship Id="rId77" Type="http://schemas.openxmlformats.org/officeDocument/2006/relationships/image" Target="media/image1.png"/><Relationship Id="rId78" Type="http://schemas.openxmlformats.org/officeDocument/2006/relationships/hyperlink" Target="http://www.arm.arthurandersen.com/rschmgr.nsf/8cddd6fe80ca79c186256506005e1e84/9e974e8ededf5224862564e20059c5cd?OpenDocument" TargetMode="External"/><Relationship Id="rId79" Type="http://schemas.openxmlformats.org/officeDocument/2006/relationships/image" Target="media/image1.png"/><Relationship Id="rId80" Type="http://schemas.openxmlformats.org/officeDocument/2006/relationships/hyperlink" Target="http://www.arm.arthurandersen.com/rschmgr.nsf/8cddd6fe80ca79c186256506005e1e84/038d86709a8708a8862568f7005abe08?OpenDocument" TargetMode="External"/><Relationship Id="rId81" Type="http://schemas.openxmlformats.org/officeDocument/2006/relationships/image" Target="media/image1.png"/><Relationship Id="rId82" Type="http://schemas.openxmlformats.org/officeDocument/2006/relationships/hyperlink" Target="http://www.arm.arthurandersen.com/rschmgr.nsf/a4c7dd742ee07e8686256497004b8894/f1db0cb9b610fc7c8625696900789538?OpenDocument" TargetMode="External"/><Relationship Id="rId83" Type="http://schemas.openxmlformats.org/officeDocument/2006/relationships/image" Target="media/image1.png"/><Relationship Id="rId84" Type="http://schemas.openxmlformats.org/officeDocument/2006/relationships/hyperlink" Target="http://www.arm.arthurandersen.com/rschmgr.nsf/8cddd6fe80ca79c186256506005e1e84/0919f1f73d804099862564e2005ad2fd?OpenDocument" TargetMode="External"/><Relationship Id="rId85" Type="http://schemas.openxmlformats.org/officeDocument/2006/relationships/image" Target="media/image1.png"/><Relationship Id="rId86" Type="http://schemas.openxmlformats.org/officeDocument/2006/relationships/hyperlink" Target="http://www.arm.arthurandersen.com/rschmgr.nsf/8cddd6fe80ca79c186256506005e1e84/eac3bc63acd50590862567a700582010?OpenDocument" TargetMode="External"/><Relationship Id="rId87" Type="http://schemas.openxmlformats.org/officeDocument/2006/relationships/image" Target="media/image1.png"/><Relationship Id="rId88" Type="http://schemas.openxmlformats.org/officeDocument/2006/relationships/hyperlink" Target="http://www.arm.arthurandersen.com/rschmgr.nsf/8cddd6fe80ca79c186256506005e1e84/038d86709a8708a8862568f7005abe08?OpenDocument" TargetMode="External"/><Relationship Id="rId89" Type="http://schemas.openxmlformats.org/officeDocument/2006/relationships/image" Target="media/image1.png"/><Relationship Id="rId90" Type="http://schemas.openxmlformats.org/officeDocument/2006/relationships/hyperlink" Target="http://www.arm.arthurandersen.com/rschmgr.nsf/8cddd6fe80ca79c186256506005e1e84/e5f5844b53a6eb0c862564e2005ad29a?OpenDocument" TargetMode="External"/><Relationship Id="rId91" Type="http://schemas.openxmlformats.org/officeDocument/2006/relationships/image" Target="media/image1.png"/><Relationship Id="rId92" Type="http://schemas.openxmlformats.org/officeDocument/2006/relationships/hyperlink" Target="http://www.arm.arthurandersen.com/rschmgr.nsf/8cddd6fe80ca79c186256506005e1e84/0919f1f73d804099862564e2005ad2fd?OpenDocument" TargetMode="External"/><Relationship Id="rId93" Type="http://schemas.openxmlformats.org/officeDocument/2006/relationships/image" Target="media/image1.png"/><Relationship Id="rId94" Type="http://schemas.openxmlformats.org/officeDocument/2006/relationships/hyperlink" Target="http://www.arm.arthurandersen.com/rschmgr.nsf/a4c7dd742ee07e8686256497004b8894/1d1d7c80330583c6862564e2005a7f2c?OpenDocument" TargetMode="External"/><Relationship Id="rId95" Type="http://schemas.openxmlformats.org/officeDocument/2006/relationships/image" Target="media/image1.png"/><Relationship Id="rId96" Type="http://schemas.openxmlformats.org/officeDocument/2006/relationships/hyperlink" Target="http://www.arm.arthurandersen.com/rschmgr.nsf/8cddd6fe80ca79c186256506005e1e84/038d86709a8708a8862568f7005abe08?OpenDocument" TargetMode="External"/><Relationship Id="rId97" Type="http://schemas.openxmlformats.org/officeDocument/2006/relationships/image" Target="media/image1.png"/><Relationship Id="rId98" Type="http://schemas.openxmlformats.org/officeDocument/2006/relationships/hyperlink" Target="http://www.arm.arthurandersen.com/rschmgr.nsf/a4c7dd742ee07e8686256497004b8894/daede0b97d163026862564e2005a7f47?OpenDocument" TargetMode="External"/><Relationship Id="rId99" Type="http://schemas.openxmlformats.org/officeDocument/2006/relationships/image" Target="media/image1.png"/><Relationship Id="rId100" Type="http://schemas.openxmlformats.org/officeDocument/2006/relationships/hyperlink" Target="http://www.arm.arthurandersen.com/rschmgr.nsf/8cddd6fe80ca79c186256506005e1e84/038d86709a8708a8862568f7005abe08?OpenDocument" TargetMode="External"/><Relationship Id="rId101" Type="http://schemas.openxmlformats.org/officeDocument/2006/relationships/image" Target="media/image1.png"/><Relationship Id="rId102" Type="http://schemas.openxmlformats.org/officeDocument/2006/relationships/hyperlink" Target="http://www.arm.arthurandersen.com/rschmgr.nsf/a4c7dd742ee07e8686256497004b8894/daede0b97d163026862564e2005a7f47?OpenDocument" TargetMode="External"/><Relationship Id="rId103" Type="http://schemas.openxmlformats.org/officeDocument/2006/relationships/image" Target="media/image1.png"/><Relationship Id="rId104" Type="http://schemas.openxmlformats.org/officeDocument/2006/relationships/hyperlink" Target="http://www.arm.arthurandersen.com/rschmgr.nsf/a4c7dd742ee07e8686256497004b8894/e06a6a4ee2ec448a862564e2005ad3d2?OpenDocument" TargetMode="External"/><Relationship Id="rId105" Type="http://schemas.openxmlformats.org/officeDocument/2006/relationships/image" Target="media/image1.png"/><Relationship Id="rId106" Type="http://schemas.openxmlformats.org/officeDocument/2006/relationships/hyperlink" Target="http://www.arm.arthurandersen.com/rschmgr.nsf/a4c7dd742ee07e8686256497004b8894/0919f1f73d804099862564e2005ad2fd?OpenDocument" TargetMode="External"/><Relationship Id="rId107" Type="http://schemas.openxmlformats.org/officeDocument/2006/relationships/image" Target="media/image1.png"/><Relationship Id="rId108" Type="http://schemas.openxmlformats.org/officeDocument/2006/relationships/hyperlink" Target="http://www.arm.arthurandersen.com/rschmgr.nsf/8cddd6fe80ca79c186256506005e1e84/509e790fe589f5cf862564d0006f7a93?OpenDocument" TargetMode="External"/><Relationship Id="rId109" Type="http://schemas.openxmlformats.org/officeDocument/2006/relationships/image" Target="media/image1.png"/><Relationship Id="rId110" Type="http://schemas.openxmlformats.org/officeDocument/2006/relationships/hyperlink" Target="http://www.arm.arthurandersen.com/rschmgr.nsf/a4c7dd742ee07e8686256497004b8894/0919f1f73d804099862564e2005ad2fd?OpenDocument" TargetMode="External"/><Relationship Id="rId111" Type="http://schemas.openxmlformats.org/officeDocument/2006/relationships/image" Target="media/image1.png"/><Relationship Id="rId112" Type="http://schemas.openxmlformats.org/officeDocument/2006/relationships/hyperlink" Target="http://www.arm.arthurandersen.com/rschmgr.nsf/8cddd6fe80ca79c186256506005e1e84/21114300eb70b5aa862564d4004c9bdd?OpenDocument" TargetMode="External"/><Relationship Id="rId113" Type="http://schemas.openxmlformats.org/officeDocument/2006/relationships/image" Target="media/image1.png"/><Relationship Id="rId114" Type="http://schemas.openxmlformats.org/officeDocument/2006/relationships/hyperlink" Target="http://www.arm.arthurandersen.com/rschmgr.nsf/a4c7dd742ee07e8686256497004b8894/eac3bc63acd50590862567a700582010?OpenDocument" TargetMode="External"/><Relationship Id="rId115" Type="http://schemas.openxmlformats.org/officeDocument/2006/relationships/image" Target="media/image1.png"/><Relationship Id="rId116" Type="http://schemas.openxmlformats.org/officeDocument/2006/relationships/hyperlink" Target="http://www.arm.arthurandersen.com/rschmgr.nsf/a4c7dd742ee07e8686256497004b8894/d89538465af128e4862564e2005a801f?OpenDocument" TargetMode="External"/><Relationship Id="rId117" Type="http://schemas.openxmlformats.org/officeDocument/2006/relationships/image" Target="media/image1.png"/><Relationship Id="rId118" Type="http://schemas.openxmlformats.org/officeDocument/2006/relationships/hyperlink" Target="http://www.arm.arthurandersen.com/rschmgr.nsf/8cddd6fe80ca79c186256506005e1e84/0a4e7cac61e2cee0862564e2005a7fd2?OpenDocument" TargetMode="External"/><Relationship Id="rId119" Type="http://schemas.openxmlformats.org/officeDocument/2006/relationships/image" Target="media/image1.png"/><Relationship Id="rId120" Type="http://schemas.openxmlformats.org/officeDocument/2006/relationships/hyperlink" Target="http://www.arm.arthurandersen.com/rschmgr.nsf/c2b0ddf05404e5ad072564d5007e122b/2b67e0981502ea5986256809004e17db?OpenDocument" TargetMode="External"/><Relationship Id="rId121" Type="http://schemas.openxmlformats.org/officeDocument/2006/relationships/image" Target="media/image1.png"/><Relationship Id="rId122" Type="http://schemas.openxmlformats.org/officeDocument/2006/relationships/hyperlink" Target="http://www.arm.arthurandersen.com/rschmgr.nsf/8cddd6fe80ca79c186256506005e1e84/2b9cb51a3f134b20862564ce0072e8c4?OpenDocument" TargetMode="External"/><Relationship Id="rId123" Type="http://schemas.openxmlformats.org/officeDocument/2006/relationships/image" Target="media/image1.png"/><Relationship Id="rId124" Type="http://schemas.openxmlformats.org/officeDocument/2006/relationships/hyperlink" Target="http://www.arm.arthurandersen.com/rschmgr.nsf/8cddd6fe80ca79c186256506005e1e84/14fc4f5a1467933f862564d5004c3a3b?OpenDocument" TargetMode="External"/><Relationship Id="rId125" Type="http://schemas.openxmlformats.org/officeDocument/2006/relationships/image" Target="media/image1.png"/><Relationship Id="rId126" Type="http://schemas.openxmlformats.org/officeDocument/2006/relationships/hyperlink" Target="http://www.arm.arthurandersen.com/rschmgr.nsf/c2b0ddf05404e5ad072564d5007e122b/08e4eb6e3a010e9a86256809004e91e3?OpenDocument" TargetMode="External"/><Relationship Id="rId127" Type="http://schemas.openxmlformats.org/officeDocument/2006/relationships/image" Target="media/image1.png"/><Relationship Id="rId128" Type="http://schemas.openxmlformats.org/officeDocument/2006/relationships/hyperlink" Target="http://www.arm.arthurandersen.com/rschmgr.nsf/8cddd6fe80ca79c186256506005e1e84/8798e4433da7d3e5862564d000729d4d?OpenDocument" TargetMode="External"/><Relationship Id="rId129" Type="http://schemas.openxmlformats.org/officeDocument/2006/relationships/image" Target="media/image1.png"/><Relationship Id="rId130" Type="http://schemas.openxmlformats.org/officeDocument/2006/relationships/hyperlink" Target="http://www.arm.arthurandersen.com/rschmgr.nsf/8cddd6fe80ca79c186256506005e1e84/14fc4f5a1467933f862564d5004c3a3b?OpenDocument" TargetMode="External"/><Relationship Id="rId131" Type="http://schemas.openxmlformats.org/officeDocument/2006/relationships/image" Target="media/image1.png"/><Relationship Id="rId132" Type="http://schemas.openxmlformats.org/officeDocument/2006/relationships/hyperlink" Target="http://www.arm.arthurandersen.com/rschmgr.nsf/c2b0ddf05404e5ad072564d5007e122b/08e4eb6e3a010e9a86256809004e91e3?OpenDocument" TargetMode="External"/><Relationship Id="rId133" Type="http://schemas.openxmlformats.org/officeDocument/2006/relationships/image" Target="media/image1.png"/><Relationship Id="rId134" Type="http://schemas.openxmlformats.org/officeDocument/2006/relationships/hyperlink" Target="http://www.arm.arthurandersen.com/rschmgr.nsf/8cddd6fe80ca79c186256506005e1e84/8699632a11646fc5862564d2005f5249?OpenDocument" TargetMode="External"/><Relationship Id="rId135" Type="http://schemas.openxmlformats.org/officeDocument/2006/relationships/image" Target="media/image1.png"/><Relationship Id="rId136" Type="http://schemas.openxmlformats.org/officeDocument/2006/relationships/hyperlink" Target="http://www.arm.arthurandersen.com/rschmgr.nsf/8cddd6fe80ca79c186256506005e1e84/2b9cb51a3f134b20862564ce0072e8c4?OpenDocument" TargetMode="External"/><Relationship Id="rId137" Type="http://schemas.openxmlformats.org/officeDocument/2006/relationships/image" Target="media/image1.png"/><Relationship Id="rId138" Type="http://schemas.openxmlformats.org/officeDocument/2006/relationships/hyperlink" Target="http://www.arm.arthurandersen.com/rschmgr.nsf/8cddd6fe80ca79c186256506005e1e84/b3c0772bb4f56aa9862564cf00726a85?OpenDocument" TargetMode="External"/><Relationship Id="rId139" Type="http://schemas.openxmlformats.org/officeDocument/2006/relationships/image" Target="media/image1.png"/><Relationship Id="rId140" Type="http://schemas.openxmlformats.org/officeDocument/2006/relationships/hyperlink" Target="http://www.arm.arthurandersen.com/rschmgr.nsf/8cddd6fe80ca79c186256506005e1e84/1368173b6d98ff83862565e200545c07?OpenDocument" TargetMode="External"/><Relationship Id="rId141" Type="http://schemas.openxmlformats.org/officeDocument/2006/relationships/image" Target="media/image1.png"/><Relationship Id="rId142" Type="http://schemas.openxmlformats.org/officeDocument/2006/relationships/hyperlink" Target="http://www.arm.arthurandersen.com/rschmgr.nsf/8cddd6fe80ca79c186256506005e1e84/1b6ff205a29a7fa2862564e2005b6565?OpenDocument" TargetMode="External"/><Relationship Id="rId143" Type="http://schemas.openxmlformats.org/officeDocument/2006/relationships/image" Target="media/image1.png"/><Relationship Id="rId144" Type="http://schemas.openxmlformats.org/officeDocument/2006/relationships/hyperlink" Target="http://www.arm.arthurandersen.com/rschmgr.nsf/8cddd6fe80ca79c186256506005e1e84/92a04ec3d9604ebd862564d40061566d?OpenDocument" TargetMode="External"/><Relationship Id="rId145" Type="http://schemas.openxmlformats.org/officeDocument/2006/relationships/image" Target="media/image1.png"/><Relationship Id="rId146" Type="http://schemas.openxmlformats.org/officeDocument/2006/relationships/hyperlink" Target="http://www.arm.arthurandersen.com/rschmgr.nsf/8cddd6fe80ca79c186256506005e1e84/83659e81a895e90c862564e2005d41ad?OpenDocument" TargetMode="External"/><Relationship Id="rId147" Type="http://schemas.openxmlformats.org/officeDocument/2006/relationships/image" Target="media/image1.png"/><Relationship Id="rId148" Type="http://schemas.openxmlformats.org/officeDocument/2006/relationships/hyperlink" Target="http://www.arm.arthurandersen.com/rschmgr.nsf/c2b0ddf05404e5ad072564d5007e122b/f52abc01ac16fe5986256a0100778db2?OpenDocument" TargetMode="External"/><Relationship Id="rId149" Type="http://schemas.openxmlformats.org/officeDocument/2006/relationships/image" Target="media/image1.png"/><Relationship Id="rId150" Type="http://schemas.openxmlformats.org/officeDocument/2006/relationships/hyperlink" Target="http://www.arm.arthurandersen.com/rschmgr.nsf/a4c7dd742ee07e8686256497004b8894/e3e9c29e430a49f9862564d4006073e8?OpenDocument" TargetMode="External"/><Relationship Id="rId151" Type="http://schemas.openxmlformats.org/officeDocument/2006/relationships/image" Target="media/image1.png"/><Relationship Id="rId152" Type="http://schemas.openxmlformats.org/officeDocument/2006/relationships/hyperlink" Target="http://www.arm.arthurandersen.com/rschmgr.nsf/a4c7dd742ee07e8686256497004b8894/e3e9c29e430a49f9862564d4006073e8?OpenDocument" TargetMode="External"/><Relationship Id="rId153" Type="http://schemas.openxmlformats.org/officeDocument/2006/relationships/image" Target="media/image1.png"/><Relationship Id="rId154" Type="http://schemas.openxmlformats.org/officeDocument/2006/relationships/hyperlink" Target="http://www.arm.arthurandersen.com/rschmgr.nsf/8cddd6fe80ca79c186256506005e1e84/7ceb9bbc496e5dce862568b3004c5ace?OpenDocument" TargetMode="External"/><Relationship Id="rId155" Type="http://schemas.openxmlformats.org/officeDocument/2006/relationships/image" Target="media/image1.png"/><Relationship Id="rId156" Type="http://schemas.openxmlformats.org/officeDocument/2006/relationships/hyperlink" Target="http://www.arm.arthurandersen.com/rschmgr.nsf/8cddd6fe80ca79c186256506005e1e84/1d70535c860cd64e862564e2005dfc7f?OpenDocument" TargetMode="External"/><Relationship Id="rId157" Type="http://schemas.openxmlformats.org/officeDocument/2006/relationships/image" Target="media/image1.png"/><Relationship Id="rId158" Type="http://schemas.openxmlformats.org/officeDocument/2006/relationships/hyperlink" Target="http://www.arm.arthurandersen.com/rschmgr.nsf/8cddd6fe80ca79c186256506005e1e84/509e790fe589f5cf862564d0006f7a93?OpenDocument" TargetMode="External"/><Relationship Id="rId159" Type="http://schemas.openxmlformats.org/officeDocument/2006/relationships/image" Target="media/image1.png"/><Relationship Id="rId160" Type="http://schemas.openxmlformats.org/officeDocument/2006/relationships/hyperlink" Target="http://www.arm.arthurandersen.com/rschmgr.nsf/a4c7dd742ee07e8686256497004b8894/9b7a8c0e53f9d895862564e2005a493d?OpenDocument" TargetMode="External"/><Relationship Id="rId161" Type="http://schemas.openxmlformats.org/officeDocument/2006/relationships/image" Target="media/image1.png"/><Relationship Id="rId162" Type="http://schemas.openxmlformats.org/officeDocument/2006/relationships/hyperlink" Target="http://www.arm.arthurandersen.com/rschmgr.nsf/8cddd6fe80ca79c186256506005e1e84/a91579c15ea0aa08862564e2005e1925?OpenDocument" TargetMode="External"/><Relationship Id="rId163" Type="http://schemas.openxmlformats.org/officeDocument/2006/relationships/image" Target="media/image1.png"/><Relationship Id="rId164" Type="http://schemas.openxmlformats.org/officeDocument/2006/relationships/hyperlink" Target="http://www.arm.arthurandersen.com/rschmgr.nsf/8cddd6fe80ca79c186256506005e1e84/daede0b97d163026862564e2005a7f47?OpenDocument" TargetMode="External"/><Relationship Id="rId165" Type="http://schemas.openxmlformats.org/officeDocument/2006/relationships/image" Target="media/image1.png"/><Relationship Id="rId166" Type="http://schemas.openxmlformats.org/officeDocument/2006/relationships/hyperlink" Target="http://www.arm.arthurandersen.com/rschmgr.nsf/a4c7dd742ee07e8686256497004b8894/eac3bc63acd50590862567a700582010?OpenDocument" TargetMode="External"/><Relationship Id="rId167" Type="http://schemas.openxmlformats.org/officeDocument/2006/relationships/image" Target="media/image1.png"/><Relationship Id="rId168" Type="http://schemas.openxmlformats.org/officeDocument/2006/relationships/hyperlink" Target="http://www.arm.arthurandersen.com/rschmgr.nsf/a4c7dd742ee07e8686256497004b8894/d89538465af128e4862564e2005a801f?OpenDocument" TargetMode="External"/><Relationship Id="rId169" Type="http://schemas.openxmlformats.org/officeDocument/2006/relationships/image" Target="media/image1.png"/><Relationship Id="rId170" Type="http://schemas.openxmlformats.org/officeDocument/2006/relationships/hyperlink" Target="http://www.arm.arthurandersen.com/rschmgr.nsf/8cddd6fe80ca79c186256506005e1e84/32e2467a493c3e94062569dc00654b01?OpenDocument" TargetMode="External"/><Relationship Id="rId171" Type="http://schemas.openxmlformats.org/officeDocument/2006/relationships/image" Target="media/image1.png"/><Relationship Id="rId172" Type="http://schemas.openxmlformats.org/officeDocument/2006/relationships/hyperlink" Target="http://www.arm.arthurandersen.com/rschmgr.nsf/c2b0ddf05404e5ad072564d5007e122b/bf0f80084d95a08b86256a1d0057e2b4?OpenDocument" TargetMode="External"/><Relationship Id="rId173" Type="http://schemas.openxmlformats.org/officeDocument/2006/relationships/image" Target="media/image1.png"/><Relationship Id="rId174" Type="http://schemas.openxmlformats.org/officeDocument/2006/relationships/hyperlink" Target="http://www.arm.arthurandersen.com/rschmgr.nsf/8cddd6fe80ca79c186256506005e1e84/94bd5c15f395f447862564d0005322ea?OpenDocument" TargetMode="External"/><Relationship Id="rId175" Type="http://schemas.openxmlformats.org/officeDocument/2006/relationships/image" Target="media/image2.png"/><Relationship Id="rId176" Type="http://schemas.openxmlformats.org/officeDocument/2006/relationships/image" Target="media/image1.png"/><Relationship Id="rId177" Type="http://schemas.openxmlformats.org/officeDocument/2006/relationships/hyperlink" Target="http://www.arm.arthurandersen.com/rschmgr.nsf/8cddd6fe80ca79c186256506005e1e84/f1db0cb9b610fc7c8625696900789538?OpenDocument" TargetMode="External"/><Relationship Id="rId178" Type="http://schemas.openxmlformats.org/officeDocument/2006/relationships/image" Target="media/image1.png"/><Relationship Id="rId179" Type="http://schemas.openxmlformats.org/officeDocument/2006/relationships/hyperlink" Target="http://www.arm.arthurandersen.com/rschmgr.nsf/8cddd6fe80ca79c186256506005e1e84/daede0b97d163026862564e2005a7f47?OpenDocument" TargetMode="External"/><Relationship Id="rId180" Type="http://schemas.openxmlformats.org/officeDocument/2006/relationships/image" Target="media/image1.png"/><Relationship Id="rId181" Type="http://schemas.openxmlformats.org/officeDocument/2006/relationships/hyperlink" Target="http://www.arm.arthurandersen.com/rschmgr.nsf/8cddd6fe80ca79c186256506005e1e84/045dd5e2a3de9b3e862564e2005a806d?OpenDocument" TargetMode="External"/><Relationship Id="rId182" Type="http://schemas.openxmlformats.org/officeDocument/2006/relationships/image" Target="media/image1.png"/><Relationship Id="rId183" Type="http://schemas.openxmlformats.org/officeDocument/2006/relationships/hyperlink" Target="http://www.arm.arthurandersen.com/rschmgr.nsf/8cddd6fe80ca79c186256506005e1e84/67cfc704c2a89750862564ce00654bf4?OpenDocument" TargetMode="External"/><Relationship Id="rId184" Type="http://schemas.openxmlformats.org/officeDocument/2006/relationships/image" Target="media/image1.png"/><Relationship Id="rId185" Type="http://schemas.openxmlformats.org/officeDocument/2006/relationships/hyperlink" Target="http://www.arm.arthurandersen.com/rschmgr.nsf/8cddd6fe80ca79c186256506005e1e84/f1db0cb9b610fc7c8625696900789538?OpenDocument" TargetMode="External"/><Relationship Id="rId186" Type="http://schemas.openxmlformats.org/officeDocument/2006/relationships/image" Target="media/image1.png"/><Relationship Id="rId187" Type="http://schemas.openxmlformats.org/officeDocument/2006/relationships/hyperlink" Target="http://www.arm.arthurandersen.com/rschmgr.nsf/8cddd6fe80ca79c186256506005e1e84/2b9cb51a3f134b20862564ce0072e8c4?OpenDocument" TargetMode="External"/><Relationship Id="rId188" Type="http://schemas.openxmlformats.org/officeDocument/2006/relationships/image" Target="media/image1.png"/><Relationship Id="rId189" Type="http://schemas.openxmlformats.org/officeDocument/2006/relationships/hyperlink" Target="http://www.arm.arthurandersen.com/rschmgr.nsf/8cddd6fe80ca79c186256506005e1e84/e1c3d7d6f58e564d862564e2005e563e?OpenDocument" TargetMode="External"/><Relationship Id="rId190" Type="http://schemas.openxmlformats.org/officeDocument/2006/relationships/image" Target="media/image1.png"/><Relationship Id="rId191" Type="http://schemas.openxmlformats.org/officeDocument/2006/relationships/hyperlink" Target="http://www.arm.arthurandersen.com/rschmgr.nsf/8cddd6fe80ca79c186256506005e1e84/21114300eb70b5aa862564d4004c9bdd?OpenDocument" TargetMode="External"/><Relationship Id="rId192" Type="http://schemas.openxmlformats.org/officeDocument/2006/relationships/image" Target="media/image1.png"/><Relationship Id="rId193" Type="http://schemas.openxmlformats.org/officeDocument/2006/relationships/hyperlink" Target="http://www.arm.arthurandersen.com/rschmgr.nsf/8cddd6fe80ca79c186256506005e1e84/6e18d42b6b44c3f8862564e2005b2453?OpenDocument" TargetMode="External"/><Relationship Id="rId194" Type="http://schemas.openxmlformats.org/officeDocument/2006/relationships/image" Target="media/image1.png"/><Relationship Id="rId195" Type="http://schemas.openxmlformats.org/officeDocument/2006/relationships/hyperlink" Target="http://www.arm.arthurandersen.com/rschmgr.nsf/a4c7dd742ee07e8686256497004b8894/35156f13b02b3ec4862564e2005bcf6d?OpenDocument" TargetMode="External"/><Relationship Id="rId196" Type="http://schemas.openxmlformats.org/officeDocument/2006/relationships/image" Target="media/image1.png"/><Relationship Id="rId197" Type="http://schemas.openxmlformats.org/officeDocument/2006/relationships/hyperlink" Target="http://www.arm.arthurandersen.com/rschmgr.nsf/a4c7dd742ee07e8686256497004b8894/02b717f483c54718862564e2005bcc39?OpenDocument" TargetMode="External"/><Relationship Id="rId198" Type="http://schemas.openxmlformats.org/officeDocument/2006/relationships/image" Target="media/image1.png"/><Relationship Id="rId199" Type="http://schemas.openxmlformats.org/officeDocument/2006/relationships/hyperlink" Target="http://www.arm.arthurandersen.com/rschmgr.nsf/8cddd6fe80ca79c186256506005e1e84/d627b000ef3b987e062569dc0056afa0?OpenDocument" TargetMode="External"/><Relationship Id="rId200" Type="http://schemas.openxmlformats.org/officeDocument/2006/relationships/image" Target="media/image1.png"/><Relationship Id="rId201" Type="http://schemas.openxmlformats.org/officeDocument/2006/relationships/hyperlink" Target="http://www.arm.arthurandersen.com/rschmgr.nsf/c2b0ddf05404e5ad072564d5007e122b/a2483c1ba60b47fe062569b300559bdf?OpenDocument" TargetMode="External"/><Relationship Id="rId202" Type="http://schemas.openxmlformats.org/officeDocument/2006/relationships/image" Target="media/image1.png"/><Relationship Id="rId203" Type="http://schemas.openxmlformats.org/officeDocument/2006/relationships/hyperlink" Target="http://www.arm.arthurandersen.com/rschmgr.nsf/d6cbc59f7ea1c21886256488006e6ef3/d89538465af128e4862564e2005a801f?OpenDocument" TargetMode="External"/><Relationship Id="rId204" Type="http://schemas.openxmlformats.org/officeDocument/2006/relationships/image" Target="media/image1.png"/><Relationship Id="rId205" Type="http://schemas.openxmlformats.org/officeDocument/2006/relationships/hyperlink" Target="http://www.arm.arthurandersen.com/rschmgr.nsf/8cddd6fe80ca79c186256506005e1e84/5db9bf4d83d5e0b6862564d10055d46a?OpenDocument" TargetMode="External"/><Relationship Id="rId206" Type="http://schemas.openxmlformats.org/officeDocument/2006/relationships/image" Target="media/image1.png"/><Relationship Id="rId207" Type="http://schemas.openxmlformats.org/officeDocument/2006/relationships/hyperlink" Target="http://www.arm.arthurandersen.com/rschmgr.nsf/c2b0ddf05404e5ad072564d5007e122b/66e751bedc88db008625680700734296?OpenDocument" TargetMode="External"/><Relationship Id="rId208" Type="http://schemas.openxmlformats.org/officeDocument/2006/relationships/image" Target="media/image3.png"/><Relationship Id="rId209" Type="http://schemas.openxmlformats.org/officeDocument/2006/relationships/image" Target="media/image1.png"/><Relationship Id="rId210" Type="http://schemas.openxmlformats.org/officeDocument/2006/relationships/hyperlink" Target="http://www.arm.arthurandersen.com/rschmgr.nsf/a4c7dd742ee07e8686256497004b8894/daede0b97d163026862564e2005a7f47?OpenDocument" TargetMode="External"/><Relationship Id="rId211" Type="http://schemas.openxmlformats.org/officeDocument/2006/relationships/image" Target="media/image1.png"/><Relationship Id="rId212" Type="http://schemas.openxmlformats.org/officeDocument/2006/relationships/hyperlink" Target="http://www.arm.arthurandersen.com/rschmgr.nsf/8cddd6fe80ca79c186256506005e1e84/e5f5844b53a6eb0c862564e2005ad29a?OpenDocument" TargetMode="External"/><Relationship Id="rId213" Type="http://schemas.openxmlformats.org/officeDocument/2006/relationships/image" Target="media/image1.png"/><Relationship Id="rId214" Type="http://schemas.openxmlformats.org/officeDocument/2006/relationships/hyperlink" Target="http://www.arm.arthurandersen.com/rschmgr.nsf/8d0e1fd4afe9f7278625648c005d440f/0919f1f73d804099862564e2005ad2fd?OpenDocument" TargetMode="External"/><Relationship Id="rId215" Type="http://schemas.openxmlformats.org/officeDocument/2006/relationships/numbering" Target="numbering.xml"/><Relationship Id="rId216" Type="http://schemas.openxmlformats.org/officeDocument/2006/relationships/fontTable" Target="fontTable.xml"/><Relationship Id="rId217" Type="http://schemas.openxmlformats.org/officeDocument/2006/relationships/settings" Target="settings.xml"/><Relationship Id="rId2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2001-10-04T14:46:00Z</dcterms:created>
  <dc:creator>Jesse Morris</dc:creator>
  <dc:description/>
  <dc:language>en-CA</dc:language>
  <cp:lastModifiedBy>Jesse Morris</cp:lastModifiedBy>
  <dcterms:modified xsi:type="dcterms:W3CDTF">2001-10-04T14:59:00Z</dcterms:modified>
  <cp:revision>1</cp:revision>
  <dc:subject/>
  <dc:title/>
</cp:coreProperties>
</file>