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Ancillary Services Request For Proposal</w:t>
      </w:r>
      <w:r>
        <w:rPr>
          <w:rStyle w:val="FootnoteCharacters"/>
          <w:rStyle w:val="FootnoteReference"/>
          <w:rFonts w:eastAsia="Symbol" w:cs="Symbol" w:ascii="Symbol" w:hAnsi="Symbol"/>
        </w:rPr>
        <w:footnoteReference w:customMarkFollows="1" w:id="2"/>
        <w:t></w:t>
      </w:r>
    </w:p>
    <w:p>
      <w:pPr>
        <w:pStyle w:val="Normal"/>
        <w:jc w:val="both"/>
        <w:rPr>
          <w:b/>
          <w:sz w:val="28"/>
        </w:rPr>
      </w:pPr>
      <w:r>
        <w:rPr>
          <w:b/>
          <w:sz w:val="28"/>
        </w:rPr>
      </w:r>
    </w:p>
    <w:p>
      <w:pPr>
        <w:pStyle w:val="Normal"/>
        <w:jc w:val="both"/>
        <w:rPr/>
      </w:pPr>
      <w:r>
        <w:rPr/>
      </w:r>
    </w:p>
    <w:p>
      <w:pPr>
        <w:pStyle w:val="BodyText2"/>
        <w:jc w:val="both"/>
        <w:rPr/>
      </w:pPr>
      <w:r>
        <w:rPr/>
        <w:t>Dynegy is seeking proposals for the provision of ancillary services necessary to meet the needs of the Southwestern Electric Service Company (SESCO) load. SESCO is a retail provider serving customers in East and Central Texas and Dynegy is the full requirements supplier through December 31, 2003. The services to be provided are these required by the ERCOT protocols, SESCO’s historical load data attached.  The term of the proposals should be from June 1, 2001 through December 31, 2003.</w:t>
      </w:r>
    </w:p>
    <w:p>
      <w:pPr>
        <w:pStyle w:val="BodyText2"/>
        <w:jc w:val="both"/>
        <w:rPr/>
      </w:pPr>
      <w:r>
        <w:rPr/>
      </w:r>
    </w:p>
    <w:p>
      <w:pPr>
        <w:pStyle w:val="BodyText2"/>
        <w:jc w:val="both"/>
        <w:rPr/>
      </w:pPr>
      <w:r>
        <w:rPr/>
        <w:t>SESCO is comprised of profiled (primarily residential) load in the following counties; Anderson, Cherokee, Falls, Freestone, Henderson, Limestone, McLennan, Milan, Rusk and Smith.  Dynegy will provide a day-ahead load forecast to the ancillary service provider and the ancillary service provider will supply ancillary services based on such load forecast. Actual dispatch of the units should remain with the ancillary services provider.</w:t>
      </w:r>
    </w:p>
    <w:p>
      <w:pPr>
        <w:pStyle w:val="BodyText2"/>
        <w:jc w:val="both"/>
        <w:rPr/>
      </w:pPr>
      <w:r>
        <w:rPr/>
      </w:r>
    </w:p>
    <w:p>
      <w:pPr>
        <w:pStyle w:val="BodyText2"/>
        <w:jc w:val="both"/>
        <w:rPr/>
      </w:pPr>
      <w:r>
        <w:rPr/>
        <w:t>This request for proposal and any information contained herein is confidential and may be used only for the purpose of responding to this request.</w:t>
      </w:r>
    </w:p>
    <w:p>
      <w:pPr>
        <w:pStyle w:val="BodyText2"/>
        <w:jc w:val="both"/>
        <w:rPr/>
      </w:pPr>
      <w:r>
        <w:rPr/>
      </w:r>
    </w:p>
    <w:p>
      <w:pPr>
        <w:pStyle w:val="BodyText2"/>
        <w:jc w:val="both"/>
        <w:rPr/>
      </w:pPr>
      <w:r>
        <w:rPr/>
        <w:t>Proposals are due on or before 5 p.m. CST March 22, 2001.  Proposals may be delivered via fax, mail or e-mail to the following addresses:</w:t>
      </w:r>
    </w:p>
    <w:p>
      <w:pPr>
        <w:pStyle w:val="BodyText2"/>
        <w:jc w:val="both"/>
        <w:rPr/>
      </w:pPr>
      <w:r>
        <w:rPr/>
      </w:r>
    </w:p>
    <w:p>
      <w:pPr>
        <w:pStyle w:val="BodyText2"/>
        <w:jc w:val="both"/>
        <w:rPr/>
      </w:pPr>
      <w:r>
        <w:rPr/>
        <w:t>Fax:</w:t>
        <w:tab/>
        <w:tab/>
        <w:t>(713) 767-5958</w:t>
      </w:r>
    </w:p>
    <w:p>
      <w:pPr>
        <w:pStyle w:val="BodyText2"/>
        <w:jc w:val="both"/>
        <w:rPr/>
      </w:pPr>
      <w:r>
        <w:rPr/>
      </w:r>
    </w:p>
    <w:p>
      <w:pPr>
        <w:pStyle w:val="BodyText2"/>
        <w:jc w:val="both"/>
        <w:rPr/>
      </w:pPr>
      <w:r>
        <w:rPr/>
        <w:t>Mail:</w:t>
        <w:tab/>
        <w:tab/>
        <w:t>Ken Cowan</w:t>
      </w:r>
    </w:p>
    <w:p>
      <w:pPr>
        <w:pStyle w:val="BodyText2"/>
        <w:ind w:firstLine="720" w:start="720" w:end="0"/>
        <w:jc w:val="both"/>
        <w:rPr/>
      </w:pPr>
      <w:r>
        <w:rPr/>
        <w:t>Senior Director</w:t>
      </w:r>
    </w:p>
    <w:p>
      <w:pPr>
        <w:pStyle w:val="BodyText2"/>
        <w:ind w:start="1440" w:end="0"/>
        <w:jc w:val="both"/>
        <w:rPr/>
      </w:pPr>
      <w:r>
        <w:rPr/>
        <w:t>Dynegy Marketing and Trade</w:t>
      </w:r>
    </w:p>
    <w:p>
      <w:pPr>
        <w:pStyle w:val="BodyText2"/>
        <w:ind w:start="1440" w:end="0"/>
        <w:jc w:val="both"/>
        <w:rPr/>
      </w:pPr>
      <w:r>
        <w:rPr/>
        <w:t>1000 Louisiana, Suite 5800</w:t>
      </w:r>
    </w:p>
    <w:p>
      <w:pPr>
        <w:pStyle w:val="BodyText2"/>
        <w:ind w:start="1440" w:end="0"/>
        <w:jc w:val="both"/>
        <w:rPr/>
      </w:pPr>
      <w:r>
        <w:rPr/>
        <w:t>Houston, Texas  77002</w:t>
      </w:r>
    </w:p>
    <w:p>
      <w:pPr>
        <w:pStyle w:val="BodyText2"/>
        <w:ind w:start="1440" w:end="0"/>
        <w:jc w:val="both"/>
        <w:rPr/>
      </w:pPr>
      <w:r>
        <w:rPr/>
      </w:r>
    </w:p>
    <w:p>
      <w:pPr>
        <w:pStyle w:val="BodyText2"/>
        <w:jc w:val="both"/>
        <w:rPr/>
      </w:pPr>
      <w:r>
        <w:rPr/>
        <w:t>E-Mail:</w:t>
        <w:tab/>
      </w:r>
      <w:hyperlink r:id="rId2">
        <w:r>
          <w:rPr>
            <w:rStyle w:val="Hyperlink"/>
          </w:rPr>
          <w:t>Ken.Cowan@dynegy.com</w:t>
        </w:r>
      </w:hyperlink>
    </w:p>
    <w:p>
      <w:pPr>
        <w:pStyle w:val="BodyText2"/>
        <w:jc w:val="both"/>
        <w:rPr/>
      </w:pPr>
      <w:r>
        <w:rPr/>
      </w:r>
    </w:p>
    <w:p>
      <w:pPr>
        <w:pStyle w:val="BodyText2"/>
        <w:jc w:val="both"/>
        <w:rPr/>
      </w:pPr>
      <w:r>
        <w:rPr/>
      </w:r>
    </w:p>
    <w:p>
      <w:pPr>
        <w:pStyle w:val="BodyText2"/>
        <w:jc w:val="both"/>
        <w:rPr/>
      </w:pPr>
      <w:r>
        <w:rPr/>
        <w:t>Seller reserves the right to reject any and all proposals for any reason.</w:t>
      </w:r>
      <w:r>
        <w:rPr>
          <w:rStyle w:val="FootnoteCharacters"/>
          <w:rStyle w:val="FootnoteReference"/>
          <w:rFonts w:eastAsia="Symbol" w:cs="Symbol" w:ascii="Symbol" w:hAnsi="Symbol"/>
        </w:rPr>
        <w:footnoteReference w:customMarkFollows="1" w:id="3"/>
        <w:t></w:t>
      </w:r>
      <w:r>
        <w:rPr/>
        <w:t>This document is not intended to create a binding offer or contract for the purchase and or sale of electric energy and capacity between Dynegy and Seller. Moreover, this document does not in any way whatsoever obligate either of the parties to enter into any agreement or to proceed with any possible relationship or transaction. Either party may terminate discussions or negotiations regarding this document at any time. Any information, terms or conditions set forth above are subject to negotiation, completion and incorporation into a definitive agreement execution by both parties.</w:t>
      </w:r>
    </w:p>
    <w:p>
      <w:pPr>
        <w:pStyle w:val="BodyText2"/>
        <w:jc w:val="both"/>
        <w:rPr>
          <w:u w:val="single"/>
        </w:rPr>
      </w:pPr>
      <w:r>
        <w:rPr>
          <w:u w:val="single"/>
        </w:rPr>
      </w:r>
    </w:p>
    <w:p>
      <w:pPr>
        <w:pStyle w:val="BodyText2"/>
        <w:jc w:val="both"/>
        <w:rPr>
          <w:u w:val="single"/>
        </w:rPr>
      </w:pPr>
      <w:r>
        <w:rPr>
          <w:u w:val="single"/>
        </w:rPr>
      </w:r>
    </w:p>
    <w:p>
      <w:pPr>
        <w:pStyle w:val="BodyText2"/>
        <w:jc w:val="both"/>
        <w:rPr>
          <w:b/>
          <w:sz w:val="32"/>
          <w:u w:val="single"/>
        </w:rPr>
      </w:pPr>
      <w:r>
        <w:rPr>
          <w:b/>
          <w:sz w:val="32"/>
          <w:u w:val="single"/>
        </w:rPr>
      </w:r>
    </w:p>
    <w:p>
      <w:pPr>
        <w:pStyle w:val="BodyText2"/>
        <w:jc w:val="both"/>
        <w:rPr>
          <w:b/>
          <w:sz w:val="32"/>
          <w:u w:val="single"/>
        </w:rPr>
      </w:pPr>
      <w:r>
        <w:rPr>
          <w:b/>
          <w:sz w:val="32"/>
          <w:u w:val="single"/>
        </w:rPr>
      </w:r>
    </w:p>
    <w:p>
      <w:pPr>
        <w:pStyle w:val="BodyText2"/>
        <w:jc w:val="both"/>
        <w:rPr>
          <w:b/>
          <w:sz w:val="32"/>
          <w:u w:val="single"/>
        </w:rPr>
      </w:pPr>
      <w:r>
        <w:rPr>
          <w:b/>
          <w:sz w:val="32"/>
          <w:u w:val="single"/>
        </w:rPr>
      </w:r>
    </w:p>
    <w:p>
      <w:pPr>
        <w:pStyle w:val="BodyText2"/>
        <w:jc w:val="both"/>
        <w:rPr>
          <w:b/>
          <w:sz w:val="32"/>
          <w:u w:val="single"/>
        </w:rPr>
      </w:pPr>
      <w:r>
        <w:rPr>
          <w:b/>
          <w:sz w:val="32"/>
          <w:u w:val="single"/>
        </w:rPr>
      </w:r>
    </w:p>
    <w:p>
      <w:pPr>
        <w:pStyle w:val="BodyText2"/>
        <w:jc w:val="both"/>
        <w:rPr>
          <w:b/>
          <w:sz w:val="32"/>
          <w:u w:val="single"/>
        </w:rPr>
      </w:pPr>
      <w:r>
        <w:rPr>
          <w:b/>
          <w:sz w:val="32"/>
          <w:u w:val="single"/>
        </w:rPr>
        <w:t>All Proposals should include the following:</w:t>
      </w:r>
    </w:p>
    <w:p>
      <w:pPr>
        <w:pStyle w:val="BodyText2"/>
        <w:jc w:val="both"/>
        <w:rPr>
          <w:b/>
          <w:sz w:val="32"/>
          <w:u w:val="single"/>
        </w:rPr>
      </w:pPr>
      <w:r>
        <w:rPr>
          <w:b/>
          <w:sz w:val="32"/>
          <w:u w:val="single"/>
        </w:rPr>
      </w:r>
    </w:p>
    <w:p>
      <w:pPr>
        <w:pStyle w:val="BodyText2"/>
        <w:numPr>
          <w:ilvl w:val="0"/>
          <w:numId w:val="2"/>
        </w:numPr>
        <w:jc w:val="both"/>
        <w:rPr/>
      </w:pPr>
      <w:r>
        <w:rPr>
          <w:b/>
        </w:rPr>
        <w:t>Company Name</w:t>
      </w:r>
      <w:r>
        <w:rPr/>
        <w:t xml:space="preserve"> – name of the company that Dynegy would be contracting with for the referenced services</w:t>
      </w:r>
    </w:p>
    <w:p>
      <w:pPr>
        <w:pStyle w:val="BodyText2"/>
        <w:jc w:val="both"/>
        <w:rPr/>
      </w:pPr>
      <w:r>
        <w:rPr/>
      </w:r>
    </w:p>
    <w:p>
      <w:pPr>
        <w:pStyle w:val="BodyText2"/>
        <w:numPr>
          <w:ilvl w:val="0"/>
          <w:numId w:val="2"/>
        </w:numPr>
        <w:jc w:val="both"/>
        <w:rPr/>
      </w:pPr>
      <w:r>
        <w:rPr>
          <w:b/>
        </w:rPr>
        <w:t>Key Contact</w:t>
      </w:r>
      <w:r>
        <w:rPr/>
        <w:t xml:space="preserve"> – name of the person that would be Dynegy’s primary contact</w:t>
      </w:r>
    </w:p>
    <w:p>
      <w:pPr>
        <w:pStyle w:val="BodyText2"/>
        <w:jc w:val="both"/>
        <w:rPr>
          <w:b/>
        </w:rPr>
      </w:pPr>
      <w:r>
        <w:rPr>
          <w:b/>
        </w:rPr>
      </w:r>
    </w:p>
    <w:p>
      <w:pPr>
        <w:pStyle w:val="BodyText2"/>
        <w:numPr>
          <w:ilvl w:val="0"/>
          <w:numId w:val="2"/>
        </w:numPr>
        <w:jc w:val="both"/>
        <w:rPr>
          <w:b/>
        </w:rPr>
      </w:pPr>
      <w:r>
        <w:rPr>
          <w:b/>
        </w:rPr>
        <w:t xml:space="preserve">Terms and Conditions - </w:t>
      </w:r>
      <w:r>
        <w:rPr/>
        <w:t>proposed terms and conditions related to the requested services</w:t>
      </w:r>
    </w:p>
    <w:p>
      <w:pPr>
        <w:pStyle w:val="BodyText2"/>
        <w:jc w:val="both"/>
        <w:rPr>
          <w:b/>
        </w:rPr>
      </w:pPr>
      <w:r>
        <w:rPr>
          <w:b/>
        </w:rPr>
      </w:r>
    </w:p>
    <w:p>
      <w:pPr>
        <w:pStyle w:val="BodyText2"/>
        <w:numPr>
          <w:ilvl w:val="0"/>
          <w:numId w:val="2"/>
        </w:numPr>
        <w:jc w:val="both"/>
        <w:rPr/>
      </w:pPr>
      <w:r>
        <w:rPr>
          <w:b/>
        </w:rPr>
        <w:t>Description</w:t>
      </w:r>
      <w:r>
        <w:rPr/>
        <w:t xml:space="preserve"> of Ancillary Services to be provided or arranged – identify each of the ancillary services to be provided and the resources associated with them</w:t>
      </w:r>
    </w:p>
    <w:p>
      <w:pPr>
        <w:pStyle w:val="BodyText2"/>
        <w:jc w:val="both"/>
        <w:rPr/>
      </w:pPr>
      <w:r>
        <w:rPr/>
      </w:r>
    </w:p>
    <w:p>
      <w:pPr>
        <w:pStyle w:val="BodyText2"/>
        <w:numPr>
          <w:ilvl w:val="0"/>
          <w:numId w:val="2"/>
        </w:numPr>
        <w:jc w:val="both"/>
        <w:rPr/>
      </w:pPr>
      <w:r>
        <w:rPr>
          <w:b/>
        </w:rPr>
        <w:t xml:space="preserve">Costs for Ancillary Services – </w:t>
      </w:r>
      <w:r>
        <w:rPr/>
        <w:t>include Regulation Up, Regulation Down, Responsive Reserves, and Non-Spinning Reserves</w:t>
      </w:r>
    </w:p>
    <w:p>
      <w:pPr>
        <w:pStyle w:val="BodyText2"/>
        <w:jc w:val="both"/>
        <w:rPr>
          <w:b/>
        </w:rPr>
      </w:pPr>
      <w:r>
        <w:rPr>
          <w:b/>
        </w:rPr>
      </w:r>
    </w:p>
    <w:p>
      <w:pPr>
        <w:pStyle w:val="BodyText2"/>
        <w:numPr>
          <w:ilvl w:val="0"/>
          <w:numId w:val="1"/>
        </w:numPr>
        <w:jc w:val="both"/>
        <w:rPr/>
      </w:pPr>
      <w:r>
        <w:rPr>
          <w:b/>
        </w:rPr>
        <w:t>Capacity price for Ancillary Services</w:t>
      </w:r>
      <w:r>
        <w:rPr/>
        <w:t xml:space="preserve"> - in $/kw-month</w:t>
      </w:r>
    </w:p>
    <w:p>
      <w:pPr>
        <w:pStyle w:val="BodyText2"/>
        <w:ind w:start="720" w:end="0"/>
        <w:jc w:val="both"/>
        <w:rPr/>
      </w:pPr>
      <w:r>
        <w:rPr/>
      </w:r>
    </w:p>
    <w:p>
      <w:pPr>
        <w:pStyle w:val="BodyText2"/>
        <w:numPr>
          <w:ilvl w:val="0"/>
          <w:numId w:val="1"/>
        </w:numPr>
        <w:jc w:val="both"/>
        <w:rPr/>
      </w:pPr>
      <w:r>
        <w:rPr>
          <w:b/>
        </w:rPr>
        <w:t>Energy price for Ancillary Services</w:t>
      </w:r>
      <w:r>
        <w:rPr/>
        <w:t xml:space="preserve"> – should include all fuel, O &amp; M charges, etc….</w:t>
      </w:r>
    </w:p>
    <w:p>
      <w:pPr>
        <w:pStyle w:val="BodyText2"/>
        <w:jc w:val="both"/>
        <w:rPr/>
      </w:pPr>
      <w:r>
        <w:rPr/>
      </w:r>
    </w:p>
    <w:p>
      <w:pPr>
        <w:pStyle w:val="BodyText2"/>
        <w:jc w:val="both"/>
        <w:rPr/>
      </w:pPr>
      <w:r>
        <w:rPr/>
      </w:r>
      <w:r>
        <w:br w:type="page"/>
      </w:r>
    </w:p>
    <w:p>
      <w:pPr>
        <w:pStyle w:val="BodyText2"/>
        <w:jc w:val="center"/>
        <w:rPr/>
      </w:pPr>
      <w:r>
        <w:rPr/>
      </w:r>
    </w:p>
    <w:p>
      <w:pPr>
        <w:pStyle w:val="BodyText2"/>
        <w:jc w:val="center"/>
        <w:rPr>
          <w:b/>
          <w:i/>
          <w:i/>
          <w:sz w:val="36"/>
        </w:rPr>
      </w:pPr>
      <w:r>
        <w:rPr>
          <w:b/>
          <w:i/>
          <w:sz w:val="36"/>
        </w:rPr>
        <w:t>SESCO Load Summary for 1999 and 2000</w:t>
      </w:r>
    </w:p>
    <w:p>
      <w:pPr>
        <w:pStyle w:val="BodyText2"/>
        <w:jc w:val="center"/>
        <w:rPr>
          <w:b/>
          <w:i/>
          <w:i/>
          <w:sz w:val="36"/>
        </w:rPr>
      </w:pPr>
      <w:r>
        <w:rPr>
          <w:b/>
          <w:i/>
          <w:sz w:val="36"/>
        </w:rPr>
      </w:r>
    </w:p>
    <w:p>
      <w:pPr>
        <w:pStyle w:val="BodyText2"/>
        <w:jc w:val="both"/>
        <w:rPr/>
      </w:pPr>
      <w:r>
        <w:rPr/>
      </w:r>
    </w:p>
    <w:tbl>
      <w:tblPr>
        <w:tblW w:w="5141" w:type="dxa"/>
        <w:jc w:val="start"/>
        <w:tblInd w:w="0" w:type="dxa"/>
        <w:tblLayout w:type="fixed"/>
        <w:tblCellMar>
          <w:top w:w="0" w:type="dxa"/>
          <w:start w:w="30" w:type="dxa"/>
          <w:bottom w:w="0" w:type="dxa"/>
          <w:end w:w="30" w:type="dxa"/>
        </w:tblCellMar>
      </w:tblPr>
      <w:tblGrid>
        <w:gridCol w:w="1452"/>
        <w:gridCol w:w="1135"/>
        <w:gridCol w:w="1308"/>
        <w:gridCol w:w="1246"/>
      </w:tblGrid>
      <w:tr>
        <w:trPr>
          <w:trHeight w:val="322" w:hRule="atLeast"/>
        </w:trPr>
        <w:tc>
          <w:tcPr>
            <w:tcW w:w="3895" w:type="dxa"/>
            <w:gridSpan w:val="3"/>
            <w:tcBorders>
              <w:top w:val="single" w:sz="6" w:space="0" w:color="000000"/>
              <w:start w:val="single" w:sz="6" w:space="0" w:color="000000"/>
              <w:bottom w:val="single" w:sz="6" w:space="0" w:color="000000"/>
            </w:tcBorders>
          </w:tcPr>
          <w:p>
            <w:pPr>
              <w:pStyle w:val="Normal"/>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1999 On Peak Summary</w:t>
            </w:r>
          </w:p>
        </w:tc>
        <w:tc>
          <w:tcPr>
            <w:tcW w:w="0" w:type="dxa"/>
            <w:vMerge w:val="continue"/>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246" w:type="dxa"/>
            <w:tcBorders>
              <w:top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322" w:hRule="atLeast"/>
        </w:trPr>
        <w:tc>
          <w:tcPr>
            <w:tcW w:w="1452"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Month</w:t>
            </w:r>
          </w:p>
        </w:tc>
        <w:tc>
          <w:tcPr>
            <w:tcW w:w="1135"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Average</w:t>
            </w:r>
          </w:p>
        </w:tc>
        <w:tc>
          <w:tcPr>
            <w:tcW w:w="1308"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Max Load</w:t>
            </w:r>
          </w:p>
        </w:tc>
        <w:tc>
          <w:tcPr>
            <w:tcW w:w="1246" w:type="dxa"/>
            <w:tcBorders>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Min Load</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January</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124</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189</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82</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February</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117</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162</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82</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March</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115</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161</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89</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April</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125</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181</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80</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May</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141</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192</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82</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June</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173</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224</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104</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July</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187</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246</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116</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August</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210</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263</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121</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September</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153</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235</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90</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October</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129</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192</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88</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November</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116</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146</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77</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December</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124</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175</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85</w:t>
            </w:r>
          </w:p>
        </w:tc>
      </w:tr>
      <w:tr>
        <w:trPr>
          <w:trHeight w:val="262" w:hRule="atLeast"/>
        </w:trPr>
        <w:tc>
          <w:tcPr>
            <w:tcW w:w="1452"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13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0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4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45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35"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0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4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322" w:hRule="atLeast"/>
        </w:trPr>
        <w:tc>
          <w:tcPr>
            <w:tcW w:w="3895" w:type="dxa"/>
            <w:gridSpan w:val="3"/>
            <w:tcBorders>
              <w:top w:val="single" w:sz="6" w:space="0" w:color="000000"/>
              <w:start w:val="single" w:sz="6" w:space="0" w:color="000000"/>
              <w:bottom w:val="single" w:sz="6" w:space="0" w:color="000000"/>
            </w:tcBorders>
          </w:tcPr>
          <w:p>
            <w:pPr>
              <w:pStyle w:val="Normal"/>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2000 On Peak Summary</w:t>
            </w:r>
          </w:p>
        </w:tc>
        <w:tc>
          <w:tcPr>
            <w:tcW w:w="0" w:type="dxa"/>
            <w:vMerge w:val="continue"/>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246" w:type="dxa"/>
            <w:tcBorders>
              <w:top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Month</w:t>
            </w:r>
          </w:p>
        </w:tc>
        <w:tc>
          <w:tcPr>
            <w:tcW w:w="1135"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Average</w:t>
            </w:r>
          </w:p>
        </w:tc>
        <w:tc>
          <w:tcPr>
            <w:tcW w:w="130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Max Load</w:t>
            </w:r>
          </w:p>
        </w:tc>
        <w:tc>
          <w:tcPr>
            <w:tcW w:w="1246"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Min Load</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January</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129</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184</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89</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February</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121</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164</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80</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March</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117</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161</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84</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April</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116</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161</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84</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May</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159</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231</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96</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June</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176</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231</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63</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July</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207</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277</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78</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August</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227</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295</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135</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September</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188</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309</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100</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October</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148</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265</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100</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November</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139</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195</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103</w:t>
            </w:r>
          </w:p>
        </w:tc>
      </w:tr>
      <w:tr>
        <w:trPr>
          <w:trHeight w:val="322" w:hRule="atLeast"/>
        </w:trPr>
        <w:tc>
          <w:tcPr>
            <w:tcW w:w="145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color w:val="000000"/>
                <w:lang w:eastAsia="en-US"/>
              </w:rPr>
            </w:pPr>
            <w:r>
              <w:rPr>
                <w:rFonts w:cs="Arial" w:ascii="Arial" w:hAnsi="Arial"/>
                <w:b/>
                <w:color w:val="000000"/>
                <w:lang w:eastAsia="en-US"/>
              </w:rPr>
              <w:t>December</w:t>
            </w:r>
          </w:p>
        </w:tc>
        <w:tc>
          <w:tcPr>
            <w:tcW w:w="113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156</w:t>
            </w:r>
          </w:p>
        </w:tc>
        <w:tc>
          <w:tcPr>
            <w:tcW w:w="1308"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252</w:t>
            </w:r>
          </w:p>
        </w:tc>
        <w:tc>
          <w:tcPr>
            <w:tcW w:w="124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110</w:t>
            </w:r>
          </w:p>
        </w:tc>
      </w:tr>
    </w:tbl>
    <w:p>
      <w:pPr>
        <w:pStyle w:val="BodyText2"/>
        <w:jc w:val="both"/>
        <w:rPr/>
      </w:pPr>
      <w:r>
        <w:rPr/>
        <w:t xml:space="preserve"> </w:t>
      </w:r>
    </w:p>
    <w:p>
      <w:pPr>
        <w:pStyle w:val="Normal"/>
        <w:rPr/>
      </w:pPr>
      <w:r>
        <w:rPr/>
      </w:r>
    </w:p>
    <w:sectPr>
      <w:footnotePr>
        <w:numFmt w:val="decimal"/>
      </w:footnotePr>
      <w:type w:val="nextPage"/>
      <w:pgSz w:w="12240" w:h="15840"/>
      <w:pgMar w:left="1440" w:right="1440" w:gutter="0" w:header="0" w:top="1152" w:footer="0" w:bottom="1152"/>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center"/>
        <w:rPr>
          <w:rStyle w:val="FootnoteCharacters"/>
          <w:rFonts w:ascii="Symbol" w:hAnsi="Symbol" w:eastAsia="Symbol" w:cs="Symbol"/>
        </w:rPr>
      </w:pPr>
      <w:r>
        <w:rPr>
          <w:rStyle w:val="FootnoteCharacters"/>
        </w:rPr>
        <w:t></w:t>
      </w:r>
      <w:r>
        <w:rPr>
          <w:rFonts w:eastAsia="Symbol" w:cs="Symbol" w:ascii="Symbol" w:hAnsi="Symbol"/>
        </w:rPr>
      </w:r>
    </w:p>
  </w:footnote>
  <w:footnote w:id="3">
    <w:p>
      <w:pPr>
        <w:pStyle w:val="FootnoteText"/>
        <w:jc w:val="center"/>
        <w:rPr>
          <w:rStyle w:val="FootnoteCharacters"/>
          <w:rFonts w:ascii="Symbol" w:hAnsi="Symbol" w:eastAsia="Symbol" w:cs="Symbol"/>
        </w:rPr>
      </w:pPr>
      <w:r>
        <w:rPr>
          <w:rStyle w:val="FootnoteCharacters"/>
        </w:rPr>
        <w:t></w:t>
      </w:r>
      <w:r>
        <w:rPr>
          <w:rFonts w:eastAsia="Symbol" w:cs="Symbol" w:ascii="Symbol" w:hAnsi="Symbol"/>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0"/>
    </w:rPr>
  </w:style>
  <w:style w:type="paragraph" w:styleId="FootnoteText">
    <w:name w:val="footnote text"/>
    <w:basedOn w:val="Normal"/>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en.Cowan@dynegy.com"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2001-03-12T18:06:00Z</dcterms:created>
  <dc:creator>Kam Noren</dc:creator>
  <dc:description/>
  <dc:language>en-CA</dc:language>
  <cp:lastModifiedBy>Kam Noren</cp:lastModifiedBy>
  <dcterms:modified xsi:type="dcterms:W3CDTF">2001-03-12T18:06:00Z</dcterms:modified>
  <cp:revision>1</cp:revision>
  <dc:subject/>
  <dc:title>Ancillary Services Request For Proposal</dc:title>
</cp:coreProperties>
</file>