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8"/>
        </w:rPr>
      </w:pPr>
      <w:r>
        <w:rPr>
          <w:b/>
          <w:sz w:val="28"/>
        </w:rPr>
        <w:t>“</w:t>
      </w:r>
      <w:r>
        <w:rPr>
          <w:b/>
          <w:sz w:val="28"/>
        </w:rPr>
        <w:t>Analytical “ VAR implementation in RisktRAC</w:t>
      </w:r>
    </w:p>
    <w:p>
      <w:pPr>
        <w:pStyle w:val="Heading"/>
        <w:rPr>
          <w:b/>
          <w:sz w:val="28"/>
        </w:rPr>
      </w:pPr>
      <w:r>
        <w:rPr>
          <w:b/>
          <w:sz w:val="28"/>
        </w:rPr>
      </w:r>
    </w:p>
    <w:p>
      <w:pPr>
        <w:pStyle w:val="Heading"/>
        <w:rPr>
          <w:b/>
        </w:rPr>
      </w:pPr>
      <w:r>
        <w:rPr>
          <w:b/>
        </w:rPr>
        <w:t>(draft)</w:t>
      </w:r>
    </w:p>
    <w:p>
      <w:pPr>
        <w:pStyle w:val="Heading"/>
        <w:rPr>
          <w:b/>
        </w:rPr>
      </w:pPr>
      <w:r>
        <w:rPr>
          <w:b/>
        </w:rPr>
      </w:r>
    </w:p>
    <w:p>
      <w:pPr>
        <w:pStyle w:val="Heading"/>
        <w:rPr>
          <w:b/>
          <w:sz w:val="20"/>
        </w:rPr>
      </w:pPr>
      <w:r>
        <w:rPr>
          <w:b/>
          <w:sz w:val="20"/>
        </w:rPr>
        <w:t>T.Tamarchenko</w:t>
      </w:r>
    </w:p>
    <w:p>
      <w:pPr>
        <w:pStyle w:val="Heading"/>
        <w:rPr>
          <w:b/>
          <w:sz w:val="20"/>
        </w:rPr>
      </w:pPr>
      <w:r>
        <w:rPr>
          <w:b/>
          <w:sz w:val="20"/>
        </w:rPr>
      </w:r>
    </w:p>
    <w:p>
      <w:pPr>
        <w:pStyle w:val="Heading"/>
        <w:rPr>
          <w:b/>
          <w:sz w:val="20"/>
        </w:rPr>
      </w:pPr>
      <w:r>
        <w:rPr>
          <w:b/>
          <w:sz w:val="20"/>
        </w:rPr>
        <w:t>28 February, 2001</w:t>
      </w:r>
    </w:p>
    <w:p>
      <w:pPr>
        <w:pStyle w:val="Normal"/>
        <w:rPr>
          <w:rFonts w:ascii="Tahoma" w:hAnsi="Tahoma" w:cs="Tahoma"/>
          <w:b/>
          <w:sz w:val="20"/>
        </w:rPr>
      </w:pPr>
      <w:r>
        <w:rPr>
          <w:rFonts w:cs="Tahoma" w:ascii="Tahoma" w:hAnsi="Tahoma"/>
          <w:b/>
          <w:sz w:val="20"/>
        </w:rPr>
      </w:r>
    </w:p>
    <w:p>
      <w:pPr>
        <w:pStyle w:val="Subtitle"/>
        <w:rPr>
          <w:sz w:val="24"/>
        </w:rPr>
      </w:pPr>
      <w:r>
        <w:rPr>
          <w:sz w:val="24"/>
        </w:rPr>
        <w:t>Theoretical background</w:t>
      </w:r>
    </w:p>
    <w:p>
      <w:pPr>
        <w:pStyle w:val="Normal"/>
        <w:rPr>
          <w:rFonts w:ascii="Tahoma" w:hAnsi="Tahoma" w:cs="Tahoma"/>
        </w:rPr>
      </w:pPr>
      <w:r>
        <w:rPr>
          <w:rFonts w:cs="Tahoma" w:ascii="Tahoma" w:hAnsi="Tahoma"/>
        </w:rPr>
        <w:t xml:space="preserve">Analytical VaR approach was proposed by Duffie and Pan (“Analytical Value-at-Risk with Jumps and Credit Risk”, 1998). This approach allows us to calculate quantiles of distribution for a portfolio of Delta and Gamma positions on underlying variables following jump-diffusion processes.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First step of the algorithm is to represent the change in the portfolio value as follows:</w:t>
      </w:r>
    </w:p>
    <w:p>
      <w:pPr>
        <w:pStyle w:val="Normal"/>
        <w:rPr/>
      </w:pPr>
      <w:r>
        <w:rPr>
          <w:rFonts w:cs="Tahoma" w:ascii="Tahoma" w:hAnsi="Tahoma"/>
        </w:rPr>
      </w:r>
      <m:oMath xmlns:m="http://schemas.openxmlformats.org/officeDocument/2006/math">
        <m:r>
          <m:rPr>
            <m:lit/>
            <m:nor/>
          </m:rPr>
          <m:t xml:space="preserve">ΔΠ</m:t>
        </m:r>
        <m:r>
          <m:t xml:space="preserve">=</m:t>
        </m:r>
        <m:nary>
          <m:naryPr>
            <m:chr m:val="∑"/>
          </m:naryPr>
          <m:sub>
            <m:r>
              <m:t xml:space="preserve">i</m:t>
            </m:r>
            <m:r>
              <m:t xml:space="preserve">=</m:t>
            </m:r>
            <m:r>
              <m:t xml:space="preserve">1</m:t>
            </m:r>
          </m:sub>
          <m:sup>
            <m:r>
              <m:t xml:space="preserve">L</m:t>
            </m:r>
          </m:sup>
          <m:e>
            <m:sSub>
              <m:e>
                <m:r>
                  <m:t xml:space="preserve">δ</m:t>
                </m:r>
              </m:e>
              <m:sub>
                <m:r>
                  <m:t xml:space="preserve">i</m:t>
                </m:r>
              </m:sub>
            </m:sSub>
            <m:sSub>
              <m:e>
                <m:r>
                  <m:t xml:space="preserve">Δy</m:t>
                </m:r>
              </m:e>
              <m:sub>
                <m:r>
                  <m:t xml:space="preserve">i</m:t>
                </m:r>
              </m:sub>
            </m:sSub>
          </m:e>
        </m:nary>
        <m:r>
          <m:t xml:space="preserve">+</m:t>
        </m:r>
        <m:f>
          <m:num>
            <m:r>
              <m:t xml:space="preserve">1</m:t>
            </m:r>
          </m:num>
          <m:den>
            <m:r>
              <m:t xml:space="preserve">2</m:t>
            </m:r>
          </m:den>
        </m:f>
        <m:nary>
          <m:naryPr>
            <m:chr m:val="∑"/>
          </m:naryPr>
          <m:sub>
            <m:r>
              <m:t xml:space="preserve">i</m:t>
            </m:r>
            <m:r>
              <m:t xml:space="preserve">=</m:t>
            </m:r>
            <m:r>
              <m:t xml:space="preserve">1</m:t>
            </m:r>
            <m:r>
              <m:t xml:space="preserve">,</m:t>
            </m:r>
            <m:r>
              <m:t xml:space="preserve">j</m:t>
            </m:r>
            <m:r>
              <m:t xml:space="preserve">=</m:t>
            </m:r>
            <m:r>
              <m:t xml:space="preserve">1</m:t>
            </m:r>
          </m:sub>
          <m:sup>
            <m:r>
              <m:t xml:space="preserve">i</m:t>
            </m:r>
            <m:r>
              <m:t xml:space="preserve">=</m:t>
            </m:r>
            <m:r>
              <m:t xml:space="preserve">L</m:t>
            </m:r>
            <m:r>
              <m:t xml:space="preserve">,</m:t>
            </m:r>
            <m:r>
              <m:t xml:space="preserve">j</m:t>
            </m:r>
            <m:r>
              <m:t xml:space="preserve">=</m:t>
            </m:r>
            <m:r>
              <m:t xml:space="preserve">L</m:t>
            </m:r>
          </m:sup>
          <m:e>
            <m:sSub>
              <m:e>
                <m:r>
                  <m:t xml:space="preserve">γ</m:t>
                </m:r>
              </m:e>
              <m:sub>
                <m:r>
                  <m:rPr>
                    <m:lit/>
                    <m:nor/>
                  </m:rPr>
                  <m:t xml:space="preserve">ij</m:t>
                </m:r>
              </m:sub>
            </m:sSub>
          </m:e>
        </m:nary>
        <m:sSub>
          <m:e>
            <m:r>
              <m:t xml:space="preserve">Δy</m:t>
            </m:r>
          </m:e>
          <m:sub>
            <m:r>
              <m:t xml:space="preserve">i</m:t>
            </m:r>
          </m:sub>
        </m:sSub>
        <m:sSub>
          <m:e>
            <m:r>
              <m:t xml:space="preserve">Δy</m:t>
            </m:r>
          </m:e>
          <m:sub>
            <m:r>
              <m:t xml:space="preserve">j</m:t>
            </m:r>
          </m:sub>
        </m:sSub>
        <m:r>
          <m:t xml:space="preserve">,</m:t>
        </m:r>
      </m:oMath>
      <w:r>
        <w:rPr>
          <w:rFonts w:cs="Tahoma" w:ascii="Tahoma" w:hAnsi="Tahoma"/>
        </w:rPr>
        <w:tab/>
        <w:tab/>
        <w:tab/>
        <w:tab/>
        <w:tab/>
        <w:tab/>
        <w:tab/>
        <w:t>(1)</w:t>
      </w:r>
    </w:p>
    <w:p>
      <w:pPr>
        <w:pStyle w:val="Normal"/>
        <w:rPr/>
      </w:pPr>
      <w:r>
        <w:rPr>
          <w:rFonts w:cs="Tahoma" w:ascii="Tahoma" w:hAnsi="Tahoma"/>
        </w:rPr>
        <w:t xml:space="preserve">where </w:t>
      </w:r>
      <w:r>
        <w:rPr>
          <w:rFonts w:eastAsia="Symbol" w:cs="Symbol" w:ascii="Symbol" w:hAnsi="Symbol"/>
        </w:rPr>
        <w:sym w:font="Symbol" w:char="f044"/>
      </w:r>
      <w:r>
        <w:rPr>
          <w:rFonts w:cs="Tahoma" w:ascii="Tahoma" w:hAnsi="Tahoma"/>
        </w:rPr>
        <w:t>y</w:t>
      </w:r>
      <w:r>
        <w:rPr>
          <w:rFonts w:cs="Tahoma" w:ascii="Tahoma" w:hAnsi="Tahoma"/>
          <w:vertAlign w:val="subscript"/>
        </w:rPr>
        <w:t>i</w:t>
      </w:r>
      <w:r>
        <w:rPr>
          <w:rFonts w:cs="Tahoma" w:ascii="Tahoma" w:hAnsi="Tahoma"/>
        </w:rPr>
        <w:t xml:space="preserve"> are independent normally distributed random variables. Then </w:t>
      </w:r>
      <w:r>
        <w:rPr>
          <w:rFonts w:eastAsia="Symbol" w:cs="Symbol" w:ascii="Symbol" w:hAnsi="Symbol"/>
        </w:rPr>
        <w:sym w:font="Symbol" w:char="f044"/>
        <w:sym w:font="Symbol" w:char="f050"/>
      </w:r>
      <w:r>
        <w:rPr>
          <w:rFonts w:cs="Tahoma" w:ascii="Tahoma" w:hAnsi="Tahoma"/>
        </w:rPr>
        <w:t xml:space="preserve"> is a quadratic form in independent normal variables. There is an efficient method to calculate quantiles for distributions of </w:t>
      </w:r>
      <w:r>
        <w:rPr>
          <w:rFonts w:eastAsia="Symbol" w:cs="Symbol" w:ascii="Symbol" w:hAnsi="Symbol"/>
        </w:rPr>
        <w:sym w:font="Symbol" w:char="f044"/>
        <w:sym w:font="Symbol" w:char="f050"/>
      </w:r>
      <w:r>
        <w:rPr>
          <w:rFonts w:cs="Tahoma" w:ascii="Tahoma" w:hAnsi="Tahoma"/>
        </w:rPr>
        <w:t xml:space="preserve"> based of Fast Fourier Transform (FFT) of it’s characteristic function (see Davies, 1973, “Numerical inversion of characteristic function”, Biometrika, 60, 2, p.415)</w:t>
      </w:r>
    </w:p>
    <w:p>
      <w:pPr>
        <w:pStyle w:val="Normal"/>
        <w:rPr>
          <w:rFonts w:ascii="Tahoma" w:hAnsi="Tahoma" w:cs="Tahoma"/>
        </w:rPr>
      </w:pPr>
      <w:r>
        <w:rPr>
          <w:rFonts w:cs="Tahoma" w:ascii="Tahoma" w:hAnsi="Tahoma"/>
        </w:rPr>
      </w:r>
    </w:p>
    <w:p>
      <w:pPr>
        <w:pStyle w:val="Heading1"/>
        <w:ind w:hanging="0" w:start="0"/>
        <w:rPr>
          <w:sz w:val="24"/>
        </w:rPr>
      </w:pPr>
      <w:r>
        <w:rPr>
          <w:sz w:val="24"/>
        </w:rPr>
        <w:t>Prototyping and testing</w:t>
      </w:r>
    </w:p>
    <w:p>
      <w:pPr>
        <w:pStyle w:val="Normal"/>
        <w:rPr>
          <w:rFonts w:ascii="Tahoma" w:hAnsi="Tahoma" w:cs="Tahoma"/>
        </w:rPr>
      </w:pPr>
      <w:r>
        <w:rPr>
          <w:rFonts w:cs="Tahoma" w:ascii="Tahoma" w:hAnsi="Tahoma"/>
        </w:rPr>
        <w:t xml:space="preserve">A prototype spreadsheet model with DLL based on the method above was built by V. Shanbhogue in 1997. This model was also used for Equity VAR model, it was compared to Equity VAR simulation model and fully tested by T. Tamarchenko. “Analytical” VAR approach took a few seconds to calculate VAR for a given percentile for Equity portfolio with 188 stocks and options.  When the number of simulations in Simulation VAR Model increase it converges to “Analytical” VAR Model. As an example, for 1000 simulations the discrepancy between 2 models was 4.6%, for 10000 simulations it was 1.8%. </w:t>
      </w:r>
    </w:p>
    <w:p>
      <w:pPr>
        <w:pStyle w:val="Normal"/>
        <w:rPr>
          <w:rFonts w:ascii="Tahoma" w:hAnsi="Tahoma" w:cs="Tahoma"/>
        </w:rPr>
      </w:pPr>
      <w:r>
        <w:rPr>
          <w:rFonts w:cs="Tahoma" w:ascii="Tahoma" w:hAnsi="Tahoma"/>
        </w:rPr>
      </w:r>
    </w:p>
    <w:p>
      <w:pPr>
        <w:pStyle w:val="Heading1"/>
        <w:ind w:hanging="0" w:start="0"/>
        <w:rPr>
          <w:sz w:val="24"/>
        </w:rPr>
      </w:pPr>
      <w:r>
        <w:rPr>
          <w:sz w:val="24"/>
        </w:rPr>
        <w:t>Practical implementation in RisktRAC</w:t>
      </w:r>
    </w:p>
    <w:p>
      <w:pPr>
        <w:pStyle w:val="Normal"/>
        <w:rPr/>
      </w:pPr>
      <w:r>
        <w:rPr>
          <w:rFonts w:cs="Tahoma" w:ascii="Tahoma" w:hAnsi="Tahoma"/>
        </w:rPr>
        <w:t xml:space="preserve">The main effort in implementing “analytical” VAR approach in RisktRak would be in obtaining coefficients </w:t>
      </w:r>
      <w:r>
        <w:rPr>
          <w:rFonts w:eastAsia="Symbol" w:cs="Symbol" w:ascii="Symbol" w:hAnsi="Symbol"/>
        </w:rPr>
        <w:sym w:font="Symbol" w:char="f064"/>
      </w:r>
      <w:r>
        <w:rPr>
          <w:rFonts w:cs="Tahoma" w:ascii="Tahoma" w:hAnsi="Tahoma"/>
          <w:vertAlign w:val="subscript"/>
        </w:rPr>
        <w:t>i</w:t>
      </w:r>
      <w:r>
        <w:rPr>
          <w:rFonts w:cs="Tahoma" w:ascii="Tahoma" w:hAnsi="Tahoma"/>
        </w:rPr>
        <w:t xml:space="preserve"> and </w:t>
      </w:r>
      <w:r>
        <w:rPr>
          <w:rFonts w:eastAsia="Symbol" w:cs="Symbol" w:ascii="Symbol" w:hAnsi="Symbol"/>
        </w:rPr>
        <w:sym w:font="Symbol" w:char="f067"/>
      </w:r>
      <w:r>
        <w:rPr>
          <w:rFonts w:cs="Tahoma" w:ascii="Tahoma" w:hAnsi="Tahoma"/>
          <w:vertAlign w:val="subscript"/>
        </w:rPr>
        <w:t>i</w:t>
      </w:r>
      <w:r>
        <w:rPr>
          <w:rFonts w:cs="Tahoma" w:ascii="Tahoma" w:hAnsi="Tahoma"/>
        </w:rPr>
        <w:t xml:space="preserve"> in equation (1) for each portfolio. These coefficients depend on Delta, Gamma positions, today’s forward prices, factor loadings and correlations (see Appendix).</w:t>
      </w:r>
    </w:p>
    <w:p>
      <w:pPr>
        <w:pStyle w:val="Normal"/>
        <w:rPr/>
      </w:pPr>
      <w:r>
        <w:rPr>
          <w:rFonts w:cs="Tahoma" w:ascii="Tahoma" w:hAnsi="Tahoma"/>
        </w:rPr>
        <w:t xml:space="preserve">The FFT routine which calculates VAR for portfolio </w:t>
      </w:r>
      <w:r>
        <w:rPr>
          <w:rFonts w:eastAsia="Symbol" w:cs="Symbol" w:ascii="Symbol" w:hAnsi="Symbol"/>
        </w:rPr>
        <w:sym w:font="Symbol" w:char="f050"/>
      </w:r>
      <w:r>
        <w:rPr>
          <w:rFonts w:cs="Tahoma" w:ascii="Tahoma" w:hAnsi="Tahoma"/>
        </w:rPr>
        <w:t xml:space="preserve"> for a given percentile is ready and can be provided by Research.</w:t>
      </w:r>
    </w:p>
    <w:p>
      <w:pPr>
        <w:pStyle w:val="Normal"/>
        <w:rPr>
          <w:rFonts w:ascii="Tahoma" w:hAnsi="Tahoma" w:cs="Tahoma"/>
        </w:rPr>
      </w:pPr>
      <w:r>
        <w:rPr>
          <w:rFonts w:cs="Tahoma" w:ascii="Tahoma" w:hAnsi="Tahoma"/>
        </w:rPr>
      </w:r>
      <w:r>
        <w:br w:type="page"/>
      </w:r>
    </w:p>
    <w:p>
      <w:pPr>
        <w:pStyle w:val="BodyText"/>
        <w:rPr>
          <w:sz w:val="24"/>
        </w:rPr>
      </w:pPr>
      <w:r>
        <w:rPr>
          <w:sz w:val="24"/>
        </w:rPr>
        <w:t>Appendix: Representing daily portfolio change as a quadratic form on independent normal random variables.</w:t>
      </w:r>
    </w:p>
    <w:p>
      <w:pPr>
        <w:pStyle w:val="Normal"/>
        <w:rPr/>
      </w:pPr>
      <w:r>
        <w:rPr>
          <w:rFonts w:cs="Tahoma" w:ascii="Tahoma" w:hAnsi="Tahoma"/>
        </w:rPr>
        <w:t xml:space="preserve">Suppose that portfolio </w:t>
      </w:r>
      <w:r>
        <w:rPr>
          <w:rFonts w:eastAsia="Symbol" w:cs="Symbol" w:ascii="Symbol" w:hAnsi="Symbol"/>
        </w:rPr>
        <w:sym w:font="Symbol" w:char="f050"/>
      </w:r>
      <w:r>
        <w:rPr>
          <w:rFonts w:cs="Tahoma" w:ascii="Tahoma" w:hAnsi="Tahoma"/>
        </w:rPr>
        <w:t xml:space="preserve"> includes only positions on N “primary” curves. For each curves we have M forward positions. Then we can represent the portfolio value change over small time horizon as follows:</w:t>
      </w:r>
    </w:p>
    <w:p>
      <w:pPr>
        <w:pStyle w:val="Normal"/>
        <w:rPr/>
      </w:pPr>
      <w:r>
        <w:rPr>
          <w:rFonts w:cs="Tahoma" w:ascii="Tahoma" w:hAnsi="Tahoma"/>
        </w:rPr>
      </w:r>
      <m:oMath xmlns:m="http://schemas.openxmlformats.org/officeDocument/2006/math">
        <m:r>
          <m:rPr>
            <m:lit/>
            <m:nor/>
          </m:rPr>
          <m:t xml:space="preserve">ΔΠ</m:t>
        </m:r>
        <m:r>
          <m:t xml:space="preserve">=</m:t>
        </m:r>
        <m:nary>
          <m:naryPr>
            <m:chr m:val="∑"/>
          </m:naryPr>
          <m:sub>
            <m:r>
              <m:t xml:space="preserve">i</m:t>
            </m:r>
            <m:r>
              <m:t xml:space="preserve">=</m:t>
            </m:r>
            <m:r>
              <m:t xml:space="preserve">1</m:t>
            </m:r>
          </m:sub>
          <m:sup>
            <m:r>
              <m:t xml:space="preserve">N</m:t>
            </m:r>
          </m:sup>
          <m:e/>
        </m:nary>
        <m:nary>
          <m:naryPr>
            <m:chr m:val="∑"/>
          </m:naryPr>
          <m:sub>
            <m:r>
              <m:t xml:space="preserve">j</m:t>
            </m:r>
            <m:r>
              <m:t xml:space="preserve">=</m:t>
            </m:r>
            <m:r>
              <m:t xml:space="preserve">1</m:t>
            </m:r>
          </m:sub>
          <m:sup>
            <m:r>
              <m:t xml:space="preserve">M</m:t>
            </m:r>
          </m:sup>
          <m:e>
            <m:sSub>
              <m:e>
                <m:r>
                  <m:t xml:space="preserve">D</m:t>
                </m:r>
              </m:e>
              <m:sub>
                <m:r>
                  <m:rPr>
                    <m:lit/>
                    <m:nor/>
                  </m:rPr>
                  <m:t xml:space="preserve">ij</m:t>
                </m:r>
              </m:sub>
            </m:sSub>
            <m:sSub>
              <m:e>
                <m:r>
                  <m:t xml:space="preserve">ΔF</m:t>
                </m:r>
              </m:e>
              <m:sub>
                <m:r>
                  <m:rPr>
                    <m:lit/>
                    <m:nor/>
                  </m:rPr>
                  <m:t xml:space="preserve">ij</m:t>
                </m:r>
              </m:sub>
            </m:sSub>
          </m:e>
        </m:nary>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nary>
        <m:nary>
          <m:naryPr>
            <m:chr m:val="∑"/>
          </m:naryPr>
          <m:sub>
            <m:r>
              <m:t xml:space="preserve">j</m:t>
            </m:r>
            <m:r>
              <m:t xml:space="preserve">=</m:t>
            </m:r>
            <m:r>
              <m:t xml:space="preserve">1</m:t>
            </m:r>
          </m:sub>
          <m:sup>
            <m:r>
              <m:t xml:space="preserve">j</m:t>
            </m:r>
            <m:r>
              <m:t xml:space="preserve">=</m:t>
            </m:r>
            <m:r>
              <m:t xml:space="preserve">M</m:t>
            </m:r>
          </m:sup>
          <m:e>
            <m:sSub>
              <m:e>
                <m:r>
                  <m:t xml:space="preserve">Γ</m:t>
                </m:r>
              </m:e>
              <m:sub>
                <m:r>
                  <m:rPr>
                    <m:lit/>
                    <m:nor/>
                  </m:rPr>
                  <m:t xml:space="preserve">ij</m:t>
                </m:r>
              </m:sub>
            </m:sSub>
          </m:e>
        </m:nary>
        <m:r>
          <m:t xml:space="preserve">(</m:t>
        </m:r>
        <m:sSub>
          <m:e>
            <m:r>
              <m:t xml:space="preserve">ΔF</m:t>
            </m:r>
          </m:e>
          <m:sub>
            <m:r>
              <m:rPr>
                <m:lit/>
                <m:nor/>
              </m:rPr>
              <m:t xml:space="preserve">ij</m:t>
            </m:r>
          </m:sub>
        </m:sSub>
        <m:sSup>
          <m:e>
            <m:r>
              <m:t xml:space="preserve">)</m:t>
            </m:r>
          </m:e>
          <m:sup>
            <m:r>
              <m:t xml:space="preserve">2</m:t>
            </m:r>
          </m:sup>
        </m:sSup>
      </m:oMath>
      <w:r>
        <w:rPr>
          <w:rFonts w:cs="Tahoma" w:ascii="Tahoma" w:hAnsi="Tahoma"/>
        </w:rPr>
        <w:t>,</w:t>
        <w:tab/>
        <w:tab/>
        <w:tab/>
        <w:tab/>
        <w:tab/>
        <w:tab/>
        <w:t>(A.1)</w:t>
      </w:r>
    </w:p>
    <w:p>
      <w:pPr>
        <w:pStyle w:val="Normal"/>
        <w:rPr/>
      </w:pPr>
      <w:r>
        <w:rPr>
          <w:rFonts w:cs="Tahoma" w:ascii="Tahoma" w:hAnsi="Tahoma"/>
        </w:rPr>
        <w:t>where F</w:t>
      </w:r>
      <w:r>
        <w:rPr>
          <w:rFonts w:cs="Tahoma" w:ascii="Tahoma" w:hAnsi="Tahoma"/>
          <w:vertAlign w:val="subscript"/>
        </w:rPr>
        <w:t>ij</w:t>
      </w:r>
      <w:r>
        <w:rPr>
          <w:rFonts w:cs="Tahoma" w:ascii="Tahoma" w:hAnsi="Tahoma"/>
        </w:rPr>
        <w:t xml:space="preserve"> is today’s forward price j for commodity i and coefficients D</w:t>
      </w:r>
      <w:r>
        <w:rPr>
          <w:rFonts w:cs="Tahoma" w:ascii="Tahoma" w:hAnsi="Tahoma"/>
          <w:vertAlign w:val="subscript"/>
        </w:rPr>
        <w:t>ij</w:t>
      </w:r>
      <w:r>
        <w:rPr>
          <w:rFonts w:cs="Tahoma" w:ascii="Tahoma" w:hAnsi="Tahoma"/>
        </w:rPr>
        <w:t xml:space="preserve"> and </w:t>
      </w:r>
      <w:r>
        <w:rPr>
          <w:rFonts w:eastAsia="Symbol" w:cs="Symbol" w:ascii="Symbol" w:hAnsi="Symbol"/>
        </w:rPr>
        <w:sym w:font="Symbol" w:char="f047"/>
      </w:r>
      <w:r>
        <w:rPr>
          <w:rFonts w:cs="Tahoma" w:ascii="Tahoma" w:hAnsi="Tahoma"/>
          <w:vertAlign w:val="subscript"/>
        </w:rPr>
        <w:t>ij</w:t>
      </w:r>
      <w:r>
        <w:rPr>
          <w:rFonts w:cs="Tahoma" w:ascii="Tahoma" w:hAnsi="Tahoma"/>
        </w:rPr>
        <w:t xml:space="preserve"> are sensitivities to corresponding forward prices. In equation A.1 </w:t>
      </w:r>
      <w:r>
        <w:rPr>
          <w:rFonts w:eastAsia="Symbol" w:cs="Symbol" w:ascii="Symbol" w:hAnsi="Symbol"/>
        </w:rPr>
        <w:sym w:font="Symbol" w:char="f044"/>
        <w:sym w:font="Symbol" w:char="f050"/>
      </w:r>
      <w:r>
        <w:rPr>
          <w:rFonts w:cs="Tahoma" w:ascii="Tahoma" w:hAnsi="Tahoma"/>
        </w:rPr>
        <w:t xml:space="preserve"> is represented as a quadratic form in dependent log-normal variables. It is possible to re-write equation A.1 with respect to sensitivities of the portfolio </w:t>
      </w:r>
      <w:r>
        <w:rPr>
          <w:rFonts w:eastAsia="Symbol" w:cs="Symbol" w:ascii="Symbol" w:hAnsi="Symbol"/>
        </w:rPr>
        <w:sym w:font="Symbol" w:char="f050"/>
      </w:r>
      <w:r>
        <w:rPr>
          <w:rFonts w:cs="Tahoma" w:ascii="Tahoma" w:hAnsi="Tahoma"/>
        </w:rPr>
        <w:t xml:space="preserve"> to the natural logarithms of forward prices. Let us denote:</w:t>
      </w:r>
    </w:p>
    <w:p>
      <w:pPr>
        <w:pStyle w:val="Normal"/>
        <w:rPr/>
      </w:pPr>
      <w:r>
        <w:rPr>
          <w:rFonts w:cs="Tahoma" w:ascii="Tahoma" w:hAnsi="Tahoma"/>
        </w:rPr>
      </w:r>
      <m:oMath xmlns:m="http://schemas.openxmlformats.org/officeDocument/2006/math">
        <m:sSub>
          <m:e>
            <m:r>
              <m:t xml:space="preserve">y</m:t>
            </m:r>
          </m:e>
          <m:sub>
            <m:r>
              <m:rPr>
                <m:lit/>
                <m:nor/>
              </m:rPr>
              <m:t xml:space="preserve">ij</m:t>
            </m:r>
          </m:sub>
        </m:sSub>
        <m:r>
          <m:t xml:space="preserve">=</m:t>
        </m:r>
        <m:r>
          <m:rPr>
            <m:lit/>
            <m:nor/>
          </m:rPr>
          <m:t xml:space="preserve">ln</m:t>
        </m:r>
        <m:r>
          <m:t xml:space="preserve">(</m:t>
        </m:r>
        <m:sSub>
          <m:e>
            <m:r>
              <m:t xml:space="preserve">F</m:t>
            </m:r>
          </m:e>
          <m:sub>
            <m:r>
              <m:rPr>
                <m:lit/>
                <m:nor/>
              </m:rPr>
              <m:t xml:space="preserve">ij</m:t>
            </m:r>
          </m:sub>
        </m:sSub>
        <m:r>
          <m:t xml:space="preserve">)</m:t>
        </m:r>
      </m:oMath>
      <w:r>
        <w:rPr>
          <w:rFonts w:cs="Tahoma" w:ascii="Tahoma" w:hAnsi="Tahoma"/>
        </w:rPr>
        <w:t>.</w:t>
      </w:r>
    </w:p>
    <w:p>
      <w:pPr>
        <w:pStyle w:val="Normal"/>
        <w:rPr>
          <w:rFonts w:ascii="Tahoma" w:hAnsi="Tahoma" w:cs="Tahoma"/>
        </w:rPr>
      </w:pPr>
      <w:r>
        <w:rPr>
          <w:rFonts w:cs="Tahoma" w:ascii="Tahoma" w:hAnsi="Tahoma"/>
        </w:rPr>
        <w:t>Now we can re-write (A.1) as follows:</w:t>
      </w:r>
    </w:p>
    <w:p>
      <w:pPr>
        <w:pStyle w:val="Normal"/>
        <w:rPr/>
      </w:pPr>
      <w:r>
        <w:rPr>
          <w:rFonts w:cs="Tahoma" w:ascii="Tahoma" w:hAnsi="Tahoma"/>
        </w:rPr>
      </w:r>
      <m:oMath xmlns:m="http://schemas.openxmlformats.org/officeDocument/2006/math">
        <m:r>
          <m:rPr>
            <m:lit/>
            <m:nor/>
          </m:rPr>
          <m:t xml:space="preserve">ΔΠ</m:t>
        </m:r>
        <m:r>
          <m:t xml:space="preserve">=</m:t>
        </m:r>
        <m:nary>
          <m:naryPr>
            <m:chr m:val="∑"/>
          </m:naryPr>
          <m:sub>
            <m:r>
              <m:t xml:space="preserve">i</m:t>
            </m:r>
            <m:r>
              <m:t xml:space="preserve">=</m:t>
            </m:r>
            <m:r>
              <m:t xml:space="preserve">1</m:t>
            </m:r>
          </m:sub>
          <m:sup>
            <m:r>
              <m:t xml:space="preserve">N</m:t>
            </m:r>
          </m:sup>
          <m:e/>
        </m:nary>
        <m:nary>
          <m:naryPr>
            <m:chr m:val="∑"/>
          </m:naryPr>
          <m:sub>
            <m:r>
              <m:t xml:space="preserve">j</m:t>
            </m:r>
            <m:r>
              <m:t xml:space="preserve">=</m:t>
            </m:r>
            <m:r>
              <m:t xml:space="preserve">1</m:t>
            </m:r>
          </m:sub>
          <m:sup>
            <m:r>
              <m:t xml:space="preserve">M</m:t>
            </m:r>
          </m:sup>
          <m:e>
            <m:sSubSup>
              <m:e>
                <m:r>
                  <m:t xml:space="preserve">D</m:t>
                </m:r>
              </m:e>
              <m:sub>
                <m:r>
                  <m:rPr>
                    <m:lit/>
                    <m:nor/>
                  </m:rPr>
                  <m:t xml:space="preserve">ij</m:t>
                </m:r>
              </m:sub>
              <m:sup/>
            </m:sSubSup>
            <m:sSub>
              <m:e>
                <m:r>
                  <m:t xml:space="preserve">Δy</m:t>
                </m:r>
              </m:e>
              <m:sub>
                <m:r>
                  <m:rPr>
                    <m:lit/>
                    <m:nor/>
                  </m:rPr>
                  <m:t xml:space="preserve">ij</m:t>
                </m:r>
              </m:sub>
            </m:sSub>
          </m:e>
        </m:nary>
        <m:r>
          <m:t xml:space="preserve">+</m:t>
        </m:r>
        <m:f>
          <m:num>
            <m:r>
              <m:t xml:space="preserve">1</m:t>
            </m:r>
          </m:num>
          <m:den>
            <m:r>
              <m:t xml:space="preserve">2</m:t>
            </m:r>
          </m:den>
        </m:f>
        <m:nary>
          <m:naryPr>
            <m:chr m:val="∑"/>
          </m:naryPr>
          <m:sub>
            <m:r>
              <m:t xml:space="preserve">i</m:t>
            </m:r>
            <m:r>
              <m:t xml:space="preserve">=</m:t>
            </m:r>
            <m:r>
              <m:t xml:space="preserve">1</m:t>
            </m:r>
          </m:sub>
          <m:sup>
            <m:r>
              <m:t xml:space="preserve">N</m:t>
            </m:r>
          </m:sup>
          <m:e/>
        </m:nary>
        <m:nary>
          <m:naryPr>
            <m:chr m:val="∑"/>
          </m:naryPr>
          <m:sub>
            <m:r>
              <m:t xml:space="preserve">j</m:t>
            </m:r>
            <m:r>
              <m:t xml:space="preserve">=</m:t>
            </m:r>
            <m:r>
              <m:t xml:space="preserve">1</m:t>
            </m:r>
          </m:sub>
          <m:sup>
            <m:r>
              <m:t xml:space="preserve">j</m:t>
            </m:r>
            <m:r>
              <m:t xml:space="preserve">=</m:t>
            </m:r>
            <m:r>
              <m:t xml:space="preserve">M</m:t>
            </m:r>
          </m:sup>
          <m:e>
            <m:sSubSup>
              <m:e>
                <m:r>
                  <m:t xml:space="preserve">Γ</m:t>
                </m:r>
              </m:e>
              <m:sub>
                <m:r>
                  <m:rPr>
                    <m:lit/>
                    <m:nor/>
                  </m:rPr>
                  <m:t xml:space="preserve">ij</m:t>
                </m:r>
              </m:sub>
              <m:sup/>
            </m:sSubSup>
          </m:e>
        </m:nary>
        <m:r>
          <m:t xml:space="preserve">(</m:t>
        </m:r>
        <m:sSub>
          <m:e>
            <m:r>
              <m:t xml:space="preserve">Δy</m:t>
            </m:r>
          </m:e>
          <m:sub>
            <m:r>
              <m:rPr>
                <m:lit/>
                <m:nor/>
              </m:rPr>
              <m:t xml:space="preserve">ij</m:t>
            </m:r>
          </m:sub>
        </m:sSub>
        <m:sSup>
          <m:e>
            <m:r>
              <m:t xml:space="preserve">)</m:t>
            </m:r>
          </m:e>
          <m:sup>
            <m:r>
              <m:t xml:space="preserve">2</m:t>
            </m:r>
          </m:sup>
        </m:sSup>
      </m:oMath>
      <w:r>
        <w:rPr>
          <w:rFonts w:cs="Tahoma" w:ascii="Tahoma" w:hAnsi="Tahoma"/>
        </w:rPr>
        <w:t>,</w:t>
        <w:tab/>
        <w:tab/>
        <w:tab/>
        <w:tab/>
        <w:tab/>
        <w:tab/>
        <w:t>(A.2)</w:t>
        <w:tab/>
      </w:r>
    </w:p>
    <w:p>
      <w:pPr>
        <w:pStyle w:val="Normal"/>
        <w:rPr>
          <w:rFonts w:ascii="Tahoma" w:hAnsi="Tahoma" w:cs="Tahoma"/>
        </w:rPr>
      </w:pPr>
      <w:r>
        <w:rPr>
          <w:rFonts w:cs="Tahoma" w:ascii="Tahoma" w:hAnsi="Tahoma"/>
        </w:rPr>
        <w:t>where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m:oMathPara xmlns:m="http://schemas.openxmlformats.org/officeDocument/2006/math">
        <m:oMathParaPr>
          <m:jc m:val="left"/>
        </m:oMathParaPr>
        <m:oMath>
          <m:eqArr>
            <m:e>
              <m:sSubSup>
                <m:e>
                  <m:r>
                    <m:t xml:space="preserve">D</m:t>
                  </m:r>
                </m:e>
                <m:sub>
                  <m:r>
                    <m:rPr>
                      <m:lit/>
                      <m:nor/>
                    </m:rPr>
                    <m:t xml:space="preserve">ij</m:t>
                  </m:r>
                </m:sub>
                <m:sup/>
              </m:sSubSup>
              <m:r>
                <m:t xml:space="preserve">=</m:t>
              </m:r>
              <m:sSub>
                <m:e>
                  <m:r>
                    <m:t xml:space="preserve">D</m:t>
                  </m:r>
                </m:e>
                <m:sub>
                  <m:r>
                    <m:rPr>
                      <m:lit/>
                      <m:nor/>
                    </m:rPr>
                    <m:t xml:space="preserve">ij</m:t>
                  </m:r>
                </m:sub>
              </m:sSub>
              <m:sSub>
                <m:e>
                  <m:r>
                    <m:t xml:space="preserve">F</m:t>
                  </m:r>
                </m:e>
                <m:sub>
                  <m:r>
                    <m:rPr>
                      <m:lit/>
                      <m:nor/>
                    </m:rPr>
                    <m:t xml:space="preserve">ij</m:t>
                  </m:r>
                </m:sub>
              </m:sSub>
              <m:r>
                <m:t xml:space="preserve">,</m:t>
              </m:r>
            </m:e>
            <m:e>
              <m:sSubSup>
                <m:e>
                  <m:r>
                    <m:t xml:space="preserve">Γ</m:t>
                  </m:r>
                </m:e>
                <m:sub>
                  <m:r>
                    <m:rPr>
                      <m:lit/>
                      <m:nor/>
                    </m:rPr>
                    <m:t xml:space="preserve">ij</m:t>
                  </m:r>
                </m:sub>
                <m:sup/>
              </m:sSubSup>
              <m:r>
                <m:t xml:space="preserve">=</m:t>
              </m:r>
              <m:sSub>
                <m:e>
                  <m:r>
                    <m:t xml:space="preserve">Γ</m:t>
                  </m:r>
                </m:e>
                <m:sub>
                  <m:r>
                    <m:rPr>
                      <m:lit/>
                      <m:nor/>
                    </m:rPr>
                    <m:t xml:space="preserve">ij</m:t>
                  </m:r>
                </m:sub>
              </m:sSub>
              <m:sSubSup>
                <m:e>
                  <m:r>
                    <m:t xml:space="preserve">F</m:t>
                  </m:r>
                </m:e>
                <m:sub>
                  <m:r>
                    <m:rPr>
                      <m:lit/>
                      <m:nor/>
                    </m:rPr>
                    <m:t xml:space="preserve">ij</m:t>
                  </m:r>
                </m:sub>
                <m:sup>
                  <m:r>
                    <m:t xml:space="preserve">2</m:t>
                  </m:r>
                </m:sup>
              </m:sSubSup>
              <m:r>
                <m:t xml:space="preserve">+</m:t>
              </m:r>
              <m:sSub>
                <m:e>
                  <m:r>
                    <m:t xml:space="preserve">D</m:t>
                  </m:r>
                </m:e>
                <m:sub>
                  <m:r>
                    <m:rPr>
                      <m:lit/>
                      <m:nor/>
                    </m:rPr>
                    <m:t xml:space="preserve">ij</m:t>
                  </m:r>
                </m:sub>
              </m:sSub>
              <m:sSub>
                <m:e>
                  <m:r>
                    <m:t xml:space="preserve">F</m:t>
                  </m:r>
                </m:e>
                <m:sub>
                  <m:r>
                    <m:rPr>
                      <m:lit/>
                      <m:nor/>
                    </m:rPr>
                    <m:t xml:space="preserve">ij</m:t>
                  </m:r>
                </m:sub>
              </m:sSub>
            </m:e>
          </m:eqArr>
        </m:oMath>
      </m:oMathPara>
    </w:p>
    <w:p>
      <w:pPr>
        <w:pStyle w:val="Normal"/>
        <w:rPr>
          <w:rFonts w:ascii="Tahoma" w:hAnsi="Tahoma" w:cs="Tahoma"/>
        </w:rPr>
      </w:pPr>
      <w:r>
        <w:rPr>
          <w:rFonts w:cs="Tahoma" w:ascii="Tahoma" w:hAnsi="Tahoma"/>
        </w:rPr>
        <w:t>According to our model forward prices for each commodity are driven by 7 independent normal shocks and a set of factor loadings, i.e.:</w:t>
      </w:r>
    </w:p>
    <w:p>
      <w:pPr>
        <w:pStyle w:val="Normal"/>
        <w:rPr/>
      </w:pPr>
      <w:r>
        <w:rPr>
          <w:rFonts w:cs="Tahoma" w:ascii="Tahoma" w:hAnsi="Tahoma"/>
        </w:rPr>
      </w:r>
      <m:oMath xmlns:m="http://schemas.openxmlformats.org/officeDocument/2006/math">
        <m:sSub>
          <m:e>
            <m:r>
              <m:t xml:space="preserve">Δy</m:t>
            </m:r>
          </m:e>
          <m:sub>
            <m:r>
              <m:rPr>
                <m:lit/>
                <m:nor/>
              </m:rPr>
              <m:t xml:space="preserve">ij</m:t>
            </m:r>
          </m:sub>
        </m:sSub>
        <m:r>
          <m:t xml:space="preserve">=</m:t>
        </m:r>
        <m:nary>
          <m:naryPr>
            <m:chr m:val="∑"/>
          </m:naryPr>
          <m:sub>
            <m:r>
              <m:t xml:space="preserve">k</m:t>
            </m:r>
            <m:r>
              <m:t xml:space="preserve">=</m:t>
            </m:r>
            <m:r>
              <m:t xml:space="preserve">1</m:t>
            </m:r>
          </m:sub>
          <m:sup>
            <m:r>
              <m:t xml:space="preserve">7</m:t>
            </m:r>
          </m:sup>
          <m:e>
            <m:sSub>
              <m:e>
                <m:r>
                  <m:t xml:space="preserve">a</m:t>
                </m:r>
              </m:e>
              <m:sub>
                <m:r>
                  <m:rPr>
                    <m:lit/>
                    <m:nor/>
                  </m:rPr>
                  <m:t xml:space="preserve">ij</m:t>
                </m:r>
              </m:sub>
            </m:sSub>
            <m:r>
              <m:t xml:space="preserve">(</m:t>
            </m:r>
            <m:r>
              <m:t xml:space="preserve">k</m:t>
            </m:r>
            <m:r>
              <m:t xml:space="preserve">)</m:t>
            </m:r>
            <m:sSub>
              <m:e>
                <m:r>
                  <m:t xml:space="preserve">ξ</m:t>
                </m:r>
              </m:e>
              <m:sub>
                <m:r>
                  <m:rPr>
                    <m:lit/>
                    <m:nor/>
                  </m:rPr>
                  <m:t xml:space="preserve">ik</m:t>
                </m:r>
              </m:sub>
            </m:sSub>
          </m:e>
        </m:nary>
      </m:oMath>
      <w:r>
        <w:rPr>
          <w:rFonts w:cs="Tahoma" w:ascii="Tahoma" w:hAnsi="Tahoma"/>
        </w:rPr>
        <w:tab/>
        <w:tab/>
        <w:tab/>
        <w:tab/>
        <w:tab/>
        <w:tab/>
        <w:tab/>
        <w:tab/>
        <w:tab/>
        <w:t>(A.3)</w:t>
      </w:r>
    </w:p>
    <w:p>
      <w:pPr>
        <w:pStyle w:val="Normal"/>
        <w:rPr>
          <w:rFonts w:ascii="Tahoma" w:hAnsi="Tahoma" w:cs="Tahoma"/>
        </w:rPr>
      </w:pPr>
      <w:r>
        <w:rPr>
          <w:rFonts w:cs="Tahoma" w:ascii="Tahoma" w:hAnsi="Tahoma"/>
        </w:rPr>
        <w:t>We can substitute (A.3) into (A.2) to obtain desired quadratic form:</w:t>
      </w:r>
    </w:p>
    <w:p>
      <w:pPr>
        <w:pStyle w:val="Normal"/>
        <w:rPr>
          <w:rFonts w:ascii="Tahoma" w:hAnsi="Tahoma" w:cs="Tahoma"/>
        </w:rPr>
      </w:pPr>
      <w:r>
        <w:rPr>
          <w:rFonts w:cs="Tahoma" w:ascii="Tahoma" w:hAnsi="Tahoma"/>
        </w:rPr>
        <w:tab/>
        <w:tab/>
        <w:tab/>
      </w:r>
    </w:p>
    <w:p>
      <w:pPr>
        <w:pStyle w:val="Normal"/>
        <w:rPr/>
      </w:pPr>
      <w:r>
        <w:rPr>
          <w:rFonts w:cs="Tahoma" w:ascii="Tahoma" w:hAnsi="Tahoma"/>
        </w:rPr>
      </w:r>
      <m:oMath xmlns:m="http://schemas.openxmlformats.org/officeDocument/2006/math">
        <m:r>
          <m:rPr>
            <m:lit/>
            <m:nor/>
          </m:rPr>
          <m:t xml:space="preserve">ΔΠ</m:t>
        </m:r>
        <m:r>
          <m:t xml:space="preserve">=</m:t>
        </m:r>
        <m:nary>
          <m:naryPr>
            <m:chr m:val="∑"/>
          </m:naryPr>
          <m:sub>
            <m:r>
              <m:t xml:space="preserve">k</m:t>
            </m:r>
            <m:r>
              <m:t xml:space="preserve">=</m:t>
            </m:r>
            <m:r>
              <m:t xml:space="preserve">1</m:t>
            </m:r>
          </m:sub>
          <m:sup>
            <m:r>
              <m:t xml:space="preserve">7</m:t>
            </m:r>
          </m:sup>
          <m:e/>
        </m:nary>
        <m:nary>
          <m:naryPr>
            <m:chr m:val="∑"/>
          </m:naryPr>
          <m:sub>
            <m:r>
              <m:t xml:space="preserve">i</m:t>
            </m:r>
            <m:r>
              <m:t xml:space="preserve">=</m:t>
            </m:r>
            <m:r>
              <m:t xml:space="preserve">1</m:t>
            </m:r>
          </m:sub>
          <m:sup>
            <m:r>
              <m:t xml:space="preserve">N</m:t>
            </m:r>
          </m:sup>
          <m:e>
            <m:sSub>
              <m:e>
                <m:r>
                  <m:t xml:space="preserve">ξ</m:t>
                </m:r>
              </m:e>
              <m:sub>
                <m:r>
                  <m:rPr>
                    <m:lit/>
                    <m:nor/>
                  </m:rPr>
                  <m:t xml:space="preserve">ik</m:t>
                </m:r>
              </m:sub>
            </m:sSub>
          </m:e>
        </m:nary>
        <m:d>
          <m:dPr>
            <m:begChr m:val="("/>
            <m:endChr m:val=")"/>
          </m:dPr>
          <m:e>
            <m:nary>
              <m:naryPr>
                <m:chr m:val="∑"/>
              </m:naryPr>
              <m:sub>
                <m:r>
                  <m:t xml:space="preserve">j</m:t>
                </m:r>
                <m:r>
                  <m:t xml:space="preserve">=</m:t>
                </m:r>
                <m:r>
                  <m:t xml:space="preserve">1</m:t>
                </m:r>
              </m:sub>
              <m:sup>
                <m:r>
                  <m:t xml:space="preserve">M</m:t>
                </m:r>
              </m:sup>
              <m:e>
                <m:sSubSup>
                  <m:e>
                    <m:r>
                      <m:t xml:space="preserve">D</m:t>
                    </m:r>
                  </m:e>
                  <m:sub>
                    <m:r>
                      <m:rPr>
                        <m:lit/>
                        <m:nor/>
                      </m:rPr>
                      <m:t xml:space="preserve">ij</m:t>
                    </m:r>
                  </m:sub>
                  <m:sup/>
                </m:sSubSup>
                <m:sSub>
                  <m:e>
                    <m:r>
                      <m:t xml:space="preserve">a</m:t>
                    </m:r>
                  </m:e>
                  <m:sub>
                    <m:r>
                      <m:rPr>
                        <m:lit/>
                        <m:nor/>
                      </m:rPr>
                      <m:t xml:space="preserve">ij</m:t>
                    </m:r>
                  </m:sub>
                </m:sSub>
              </m:e>
            </m:nary>
            <m:r>
              <m:t xml:space="preserve">(</m:t>
            </m:r>
            <m:r>
              <m:t xml:space="preserve">k</m:t>
            </m:r>
            <m:r>
              <m:t xml:space="preserve">)</m:t>
            </m:r>
          </m:e>
        </m:d>
        <m:r>
          <m:t xml:space="preserve">+</m:t>
        </m:r>
        <m:f>
          <m:num>
            <m:r>
              <m:t xml:space="preserve">1</m:t>
            </m:r>
          </m:num>
          <m:den>
            <m:r>
              <m:t xml:space="preserve">2</m:t>
            </m:r>
          </m:den>
        </m:f>
        <m:nary>
          <m:naryPr>
            <m:chr m:val="∑"/>
          </m:naryPr>
          <m:sub>
            <m:r>
              <m:t xml:space="preserve">k</m:t>
            </m:r>
            <m:r>
              <m:t xml:space="preserve">=</m:t>
            </m:r>
            <m:r>
              <m:t xml:space="preserve">1</m:t>
            </m:r>
            <m:r>
              <m:t xml:space="preserve">,</m:t>
            </m:r>
            <m:r>
              <m:t xml:space="preserve">l</m:t>
            </m:r>
            <m:r>
              <m:t xml:space="preserve">=</m:t>
            </m:r>
            <m:r>
              <m:t xml:space="preserve">1</m:t>
            </m:r>
          </m:sub>
          <m:sup>
            <m:r>
              <m:t xml:space="preserve">k</m:t>
            </m:r>
            <m:r>
              <m:t xml:space="preserve">=</m:t>
            </m:r>
            <m:r>
              <m:t xml:space="preserve">7</m:t>
            </m:r>
            <m:r>
              <m:t xml:space="preserve">,</m:t>
            </m:r>
            <m:r>
              <m:t xml:space="preserve">l</m:t>
            </m:r>
            <m:r>
              <m:t xml:space="preserve">=</m:t>
            </m:r>
            <m:r>
              <m:t xml:space="preserve">7</m:t>
            </m:r>
          </m:sup>
          <m:e/>
        </m:nary>
        <m:nary>
          <m:naryPr>
            <m:chr m:val="∑"/>
          </m:naryPr>
          <m:sub>
            <m:r>
              <m:t xml:space="preserve">i</m:t>
            </m:r>
            <m:r>
              <m:t xml:space="preserve">=</m:t>
            </m:r>
            <m:r>
              <m:t xml:space="preserve">1</m:t>
            </m:r>
          </m:sub>
          <m:sup>
            <m:r>
              <m:t xml:space="preserve">i</m:t>
            </m:r>
            <m:r>
              <m:t xml:space="preserve">=</m:t>
            </m:r>
            <m:r>
              <m:t xml:space="preserve">N</m:t>
            </m:r>
          </m:sup>
          <m:e>
            <m:sSub>
              <m:e>
                <m:r>
                  <m:t xml:space="preserve">ξ</m:t>
                </m:r>
              </m:e>
              <m:sub>
                <m:r>
                  <m:rPr>
                    <m:lit/>
                    <m:nor/>
                  </m:rPr>
                  <m:t xml:space="preserve">ik</m:t>
                </m:r>
              </m:sub>
            </m:sSub>
            <m:sSub>
              <m:e>
                <m:r>
                  <m:t xml:space="preserve">ξ</m:t>
                </m:r>
              </m:e>
              <m:sub>
                <m:r>
                  <m:rPr>
                    <m:lit/>
                    <m:nor/>
                  </m:rPr>
                  <m:t xml:space="preserve">il</m:t>
                </m:r>
              </m:sub>
            </m:sSub>
          </m:e>
        </m:nary>
        <m:d>
          <m:dPr>
            <m:begChr m:val="("/>
            <m:endChr m:val=")"/>
          </m:dPr>
          <m:e>
            <m:nary>
              <m:naryPr>
                <m:chr m:val="∑"/>
              </m:naryPr>
              <m:sub>
                <m:r>
                  <m:t xml:space="preserve">j</m:t>
                </m:r>
                <m:r>
                  <m:t xml:space="preserve">=</m:t>
                </m:r>
                <m:r>
                  <m:t xml:space="preserve">1</m:t>
                </m:r>
              </m:sub>
              <m:sup>
                <m:r>
                  <m:t xml:space="preserve">j</m:t>
                </m:r>
                <m:r>
                  <m:t xml:space="preserve">=</m:t>
                </m:r>
                <m:r>
                  <m:t xml:space="preserve">M</m:t>
                </m:r>
              </m:sup>
              <m:e>
                <m:sSubSup>
                  <m:e>
                    <m:r>
                      <m:t xml:space="preserve">Γ</m:t>
                    </m:r>
                  </m:e>
                  <m:sub>
                    <m:r>
                      <m:rPr>
                        <m:lit/>
                        <m:nor/>
                      </m:rPr>
                      <m:t xml:space="preserve">ij</m:t>
                    </m:r>
                  </m:sub>
                  <m:sup/>
                </m:sSubSup>
              </m:e>
            </m:nary>
            <m:sSub>
              <m:e>
                <m:r>
                  <m:t xml:space="preserve">a</m:t>
                </m:r>
              </m:e>
              <m:sub>
                <m:r>
                  <m:rPr>
                    <m:lit/>
                    <m:nor/>
                  </m:rPr>
                  <m:t xml:space="preserve">ij</m:t>
                </m:r>
              </m:sub>
            </m:sSub>
            <m:r>
              <m:t xml:space="preserve">(</m:t>
            </m:r>
            <m:r>
              <m:t xml:space="preserve">k</m:t>
            </m:r>
            <m:r>
              <m:t xml:space="preserve">)</m:t>
            </m:r>
            <m:sSub>
              <m:e>
                <m:r>
                  <m:t xml:space="preserve">a</m:t>
                </m:r>
              </m:e>
              <m:sub>
                <m:r>
                  <m:rPr>
                    <m:lit/>
                    <m:nor/>
                  </m:rPr>
                  <m:t xml:space="preserve">ij</m:t>
                </m:r>
              </m:sub>
            </m:sSub>
            <m:r>
              <m:t xml:space="preserve">(</m:t>
            </m:r>
            <m:r>
              <m:t xml:space="preserve">l</m:t>
            </m:r>
            <m:r>
              <m:t xml:space="preserve">)</m:t>
            </m:r>
          </m:e>
        </m:d>
      </m:oMath>
      <w:r>
        <w:rPr>
          <w:rFonts w:cs="Tahoma" w:ascii="Tahoma" w:hAnsi="Tahoma"/>
        </w:rPr>
        <w:tab/>
        <w:tab/>
        <w:t>(A.4)</w:t>
      </w:r>
    </w:p>
    <w:p>
      <w:pPr>
        <w:pStyle w:val="Normal"/>
        <w:rPr/>
      </w:pPr>
      <w:r>
        <w:rPr>
          <w:rFonts w:cs="Tahoma" w:ascii="Tahoma" w:hAnsi="Tahoma"/>
        </w:rPr>
        <w:t xml:space="preserve">Equation A.4 would be our final representation if the random shocks for different commodities were independent. In our model, though, we use correlated random shocks for different primary curves, so we need one more step to come up with desired representation of </w:t>
      </w:r>
      <w:r>
        <w:rPr>
          <w:rFonts w:eastAsia="Symbol" w:cs="Symbol" w:ascii="Symbol" w:hAnsi="Symbol"/>
        </w:rPr>
        <w:sym w:font="Symbol" w:char="f044"/>
        <w:sym w:font="Symbol" w:char="f050"/>
      </w:r>
      <w:r>
        <w:rPr>
          <w:rFonts w:cs="Tahoma" w:ascii="Tahoma" w:hAnsi="Tahoma"/>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b/>
    </w:rPr>
  </w:style>
  <w:style w:type="character" w:styleId="DefaultParagraphFont">
    <w:name w:val="Default Paragraph Font"/>
    <w:qFormat/>
    <w:rPr/>
  </w:style>
  <w:style w:type="paragraph" w:styleId="Heading">
    <w:name w:val="Heading"/>
    <w:basedOn w:val="Normal"/>
    <w:next w:val="BodyText"/>
    <w:qFormat/>
    <w:pPr>
      <w:jc w:val="center"/>
    </w:pPr>
    <w:rPr>
      <w:rFonts w:ascii="Tahoma" w:hAnsi="Tahoma" w:cs="Tahoma"/>
      <w:sz w:val="24"/>
    </w:rPr>
  </w:style>
  <w:style w:type="paragraph" w:styleId="BodyText">
    <w:name w:val="Body Text"/>
    <w:basedOn w:val="Normal"/>
    <w:pPr/>
    <w:rPr>
      <w:rFonts w:ascii="Tahoma" w:hAnsi="Tahoma" w:cs="Tahoma"/>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Tahoma" w:hAnsi="Tahoma" w:cs="Tahoma"/>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2001-02-28T11:26:00Z</dcterms:created>
  <dc:creator>ttamarc</dc:creator>
  <dc:description/>
  <dc:language>en-CA</dc:language>
  <cp:lastModifiedBy>ttamarc</cp:lastModifiedBy>
  <cp:lastPrinted>2001-02-28T10:04:00Z</cp:lastPrinted>
  <dcterms:modified xsi:type="dcterms:W3CDTF">2001-02-28T13:57:00Z</dcterms:modified>
  <cp:revision>4</cp:revision>
  <dc:subject/>
  <dc:title>“Analytical “ VAR implementation in RisktRAC</dc:title>
</cp:coreProperties>
</file>