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Black" w:hAnsi="Arial Black" w:cs="Arial Black"/>
          <w:lang w:val="en-CA" w:eastAsia="en-CA"/>
        </w:rPr>
      </w:pPr>
      <w:r>
        <w:rPr>
          <w:rFonts w:cs="Arial Black" w:ascii="Arial Black" w:hAnsi="Arial Black"/>
          <w:lang w:val="en-CA" w:eastAsia="en-CA"/>
        </w:rPr>
      </w:r>
      <w:r>
        <mc:AlternateContent>
          <mc:Choice Requires="wps">
            <w:drawing>
              <wp:anchor behindDoc="0" distT="0" distB="0" distL="114935" distR="114935" simplePos="0" locked="0" layoutInCell="1" allowOverlap="1" relativeHeight="3">
                <wp:simplePos x="0" y="0"/>
                <wp:positionH relativeFrom="column">
                  <wp:posOffset>-324485</wp:posOffset>
                </wp:positionH>
                <wp:positionV relativeFrom="paragraph">
                  <wp:posOffset>-282575</wp:posOffset>
                </wp:positionV>
                <wp:extent cx="3300730" cy="465455"/>
                <wp:effectExtent l="0" t="0" r="0" b="0"/>
                <wp:wrapNone/>
                <wp:docPr id="1" name="Frame1"/>
                <a:graphic xmlns:a="http://schemas.openxmlformats.org/drawingml/2006/main">
                  <a:graphicData uri="http://schemas.microsoft.com/office/word/2010/wordprocessingShape">
                    <wps:wsp>
                      <wps:cNvSpPr txBox="1"/>
                      <wps:spPr>
                        <a:xfrm>
                          <a:off x="0" y="0"/>
                          <a:ext cx="3300730" cy="465455"/>
                        </a:xfrm>
                        <a:prstGeom prst="rect"/>
                        <a:solidFill>
                          <a:srgbClr val="FFFFFF"/>
                        </a:solidFill>
                        <a:ln w="9525">
                          <a:solidFill>
                            <a:srgbClr val="000000"/>
                          </a:solidFill>
                        </a:ln>
                      </wps:spPr>
                      <wps:txbx>
                        <w:txbxContent>
                          <w:p>
                            <w:pPr>
                              <w:pStyle w:val="Heading6"/>
                              <w:ind w:hanging="0" w:start="0"/>
                              <w:jc w:val="start"/>
                              <w:rPr/>
                            </w:pPr>
                            <w:r>
                              <w:rPr/>
                              <w:t>Position:  Analyst</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59.9pt;height:36.65pt;mso-wrap-distance-left:9.05pt;mso-wrap-distance-right:9.05pt;mso-wrap-distance-top:0pt;mso-wrap-distance-bottom:0pt;margin-top:-22.25pt;mso-position-vertical-relative:text;margin-left:-25.55pt;mso-position-horizontal-relative:text">
                <v:textbox>
                  <w:txbxContent>
                    <w:p>
                      <w:pPr>
                        <w:pStyle w:val="Heading6"/>
                        <w:ind w:hanging="0" w:start="0"/>
                        <w:jc w:val="start"/>
                        <w:rPr/>
                      </w:pPr>
                      <w:r>
                        <w:rPr/>
                        <w:t>Position:  Analyst</w:t>
                      </w:r>
                    </w:p>
                    <w:p>
                      <w:pPr>
                        <w:pStyle w:val="Normal"/>
                        <w:rPr/>
                      </w:pPr>
                      <w:r>
                        <w:rPr/>
                      </w:r>
                    </w:p>
                  </w:txbxContent>
                </v:textbox>
                <w10:wrap type="none"/>
              </v:rect>
            </w:pict>
          </mc:Fallback>
        </mc:AlternateContent>
      </w:r>
    </w:p>
    <w:p>
      <w:pPr>
        <w:pStyle w:val="Normal"/>
        <w:rPr>
          <w:rFonts w:ascii="Arial Black" w:hAnsi="Arial Black" w:cs="Arial Black"/>
          <w:lang w:val="en-CA" w:eastAsia="en-CA"/>
        </w:rPr>
      </w:pPr>
      <w:r>
        <w:rPr>
          <w:rFonts w:cs="Arial Black" w:ascii="Arial Black" w:hAnsi="Arial Black"/>
          <w:lang w:val="en-CA" w:eastAsia="en-CA"/>
        </w:rPr>
      </w:r>
    </w:p>
    <w:p>
      <w:pPr>
        <w:pStyle w:val="Header"/>
        <w:tabs>
          <w:tab w:val="clear" w:pos="4320"/>
          <w:tab w:val="clear" w:pos="8640"/>
        </w:tabs>
        <w:rPr>
          <w:rFonts w:ascii="Arial Black" w:hAnsi="Arial Black" w:cs="Arial Black"/>
          <w:lang w:val="en-CA" w:eastAsia="en-CA"/>
        </w:rPr>
      </w:pPr>
      <w:r>
        <w:rPr>
          <w:rFonts w:cs="Arial Black" w:ascii="Arial Black" w:hAnsi="Arial Black"/>
          <w:lang w:val="en-CA" w:eastAsia="en-CA"/>
        </w:rPr>
        <mc:AlternateContent>
          <mc:Choice Requires="wps">
            <w:drawing>
              <wp:anchor behindDoc="0" distT="0" distB="0" distL="114935" distR="114935" simplePos="0" locked="0" layoutInCell="1" allowOverlap="1" relativeHeight="5">
                <wp:simplePos x="0" y="0"/>
                <wp:positionH relativeFrom="column">
                  <wp:posOffset>228600</wp:posOffset>
                </wp:positionH>
                <wp:positionV relativeFrom="paragraph">
                  <wp:posOffset>7780020</wp:posOffset>
                </wp:positionV>
                <wp:extent cx="2011680" cy="0"/>
                <wp:effectExtent l="0" t="95250" r="0" b="95250"/>
                <wp:wrapNone/>
                <wp:docPr id="2" name=""/>
                <a:graphic xmlns:a="http://schemas.openxmlformats.org/drawingml/2006/main">
                  <a:graphicData uri="http://schemas.microsoft.com/office/word/2010/wordprocessingShape">
                    <wps:wsp>
                      <wps:cNvSpPr/>
                      <wps:spPr>
                        <a:xfrm>
                          <a:off x="0" y="0"/>
                          <a:ext cx="2011680" cy="0"/>
                        </a:xfrm>
                        <a:prstGeom prst="line">
                          <a:avLst/>
                        </a:prstGeom>
                        <a:ln w="190440">
                          <a:solidFill>
                            <a:srgbClr val="000000"/>
                          </a:solidFill>
                          <a:miter/>
                        </a:ln>
                      </wps:spPr>
                      <wps:style>
                        <a:lnRef idx="0"/>
                        <a:fillRef idx="0"/>
                        <a:effectRef idx="0"/>
                        <a:fontRef idx="minor"/>
                      </wps:style>
                      <wps:bodyPr/>
                    </wps:wsp>
                  </a:graphicData>
                </a:graphic>
              </wp:anchor>
            </w:drawing>
          </mc:Choice>
          <mc:Fallback>
            <w:pict>
              <v:line id="shape_0" from="18pt,612.6pt" to="176.35pt,612.6pt" stroked="t" o:allowincell="f" style="position:absolute">
                <v:stroke color="black" weight="190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2240280</wp:posOffset>
                </wp:positionH>
                <wp:positionV relativeFrom="paragraph">
                  <wp:posOffset>7780020</wp:posOffset>
                </wp:positionV>
                <wp:extent cx="3474720" cy="0"/>
                <wp:effectExtent l="0" t="5080" r="0" b="5080"/>
                <wp:wrapNone/>
                <wp:docPr id="3" name=""/>
                <a:graphic xmlns:a="http://schemas.openxmlformats.org/drawingml/2006/main">
                  <a:graphicData uri="http://schemas.microsoft.com/office/word/2010/wordprocessingShape">
                    <wps:wsp>
                      <wps:cNvSpPr/>
                      <wps:spPr>
                        <a:xfrm>
                          <a:off x="0" y="0"/>
                          <a:ext cx="3474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6.4pt,612.6pt" to="449.95pt,612.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-167640</wp:posOffset>
                </wp:positionH>
                <wp:positionV relativeFrom="paragraph">
                  <wp:posOffset>99060</wp:posOffset>
                </wp:positionV>
                <wp:extent cx="2011680" cy="0"/>
                <wp:effectExtent l="0" t="95250" r="0" b="95250"/>
                <wp:wrapNone/>
                <wp:docPr id="4" name=""/>
                <a:graphic xmlns:a="http://schemas.openxmlformats.org/drawingml/2006/main">
                  <a:graphicData uri="http://schemas.microsoft.com/office/word/2010/wordprocessingShape">
                    <wps:wsp>
                      <wps:cNvSpPr/>
                      <wps:spPr>
                        <a:xfrm>
                          <a:off x="0" y="0"/>
                          <a:ext cx="2011680" cy="0"/>
                        </a:xfrm>
                        <a:prstGeom prst="line">
                          <a:avLst/>
                        </a:prstGeom>
                        <a:ln w="190440">
                          <a:solidFill>
                            <a:srgbClr val="000000"/>
                          </a:solidFill>
                          <a:miter/>
                        </a:ln>
                      </wps:spPr>
                      <wps:style>
                        <a:lnRef idx="0"/>
                        <a:fillRef idx="0"/>
                        <a:effectRef idx="0"/>
                        <a:fontRef idx="minor"/>
                      </wps:style>
                      <wps:bodyPr/>
                    </wps:wsp>
                  </a:graphicData>
                </a:graphic>
              </wp:anchor>
            </w:drawing>
          </mc:Choice>
          <mc:Fallback>
            <w:pict>
              <v:line id="shape_0" from="-13.2pt,7.8pt" to="145.15pt,7.8pt" stroked="t" o:allowincell="f" style="position:absolute">
                <v:stroke color="black" weight="190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1844040</wp:posOffset>
                </wp:positionH>
                <wp:positionV relativeFrom="paragraph">
                  <wp:posOffset>99060</wp:posOffset>
                </wp:positionV>
                <wp:extent cx="3870960" cy="0"/>
                <wp:effectExtent l="0" t="5080" r="0" b="5080"/>
                <wp:wrapNone/>
                <wp:docPr id="5" name=""/>
                <a:graphic xmlns:a="http://schemas.openxmlformats.org/drawingml/2006/main">
                  <a:graphicData uri="http://schemas.microsoft.com/office/word/2010/wordprocessingShape">
                    <wps:wsp>
                      <wps:cNvSpPr/>
                      <wps:spPr>
                        <a:xfrm>
                          <a:off x="0" y="0"/>
                          <a:ext cx="3871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2pt,7.8pt" to="449.95pt,7.8pt" stroked="t" o:allowincell="f" style="position:absolute">
                <v:stroke color="black" weight="9360" joinstyle="miter" endcap="flat"/>
                <v:fill o:detectmouseclick="t" on="false"/>
                <w10:wrap type="none"/>
              </v:line>
            </w:pict>
          </mc:Fallback>
        </mc:AlternateContent>
      </w:r>
      <w:r>
        <mc:AlternateContent>
          <mc:Choice Requires="wps">
            <w:drawing>
              <wp:anchor behindDoc="1" distT="0" distB="0" distL="114935" distR="114935" simplePos="0" locked="0" layoutInCell="1" allowOverlap="1" relativeHeight="2">
                <wp:simplePos x="0" y="0"/>
                <wp:positionH relativeFrom="column">
                  <wp:align>center</wp:align>
                </wp:positionH>
                <wp:positionV relativeFrom="paragraph">
                  <wp:posOffset>440055</wp:posOffset>
                </wp:positionV>
                <wp:extent cx="6752590" cy="7095490"/>
                <wp:effectExtent l="0" t="0" r="0" b="0"/>
                <wp:wrapNone/>
                <wp:docPr id="6" name="Frame2"/>
                <a:graphic xmlns:a="http://schemas.openxmlformats.org/drawingml/2006/main">
                  <a:graphicData uri="http://schemas.microsoft.com/office/word/2010/wordprocessingShape">
                    <wps:wsp>
                      <wps:cNvSpPr txBox="1"/>
                      <wps:spPr>
                        <a:xfrm>
                          <a:off x="0" y="0"/>
                          <a:ext cx="6752590" cy="7095490"/>
                        </a:xfrm>
                        <a:prstGeom prst="rect"/>
                        <a:solidFill>
                          <a:srgbClr val="FFFFFF"/>
                        </a:solidFill>
                        <a:ln w="9525">
                          <a:solidFill>
                            <a:srgbClr val="000000"/>
                          </a:solidFill>
                        </a:ln>
                      </wps:spPr>
                      <wps:txbx>
                        <w:txbxContent>
                          <w:p>
                            <w:pPr>
                              <w:pStyle w:val="Heading1"/>
                              <w:ind w:hanging="0" w:start="0"/>
                              <w:rPr>
                                <w:b/>
                                <w:bCs/>
                              </w:rPr>
                            </w:pPr>
                            <w:r>
                              <w:rPr>
                                <w:b/>
                                <w:bCs/>
                              </w:rPr>
                              <w:t>Company Profile</w:t>
                            </w:r>
                          </w:p>
                          <w:p>
                            <w:pPr>
                              <w:pStyle w:val="Normal"/>
                              <w:rPr/>
                            </w:pPr>
                            <w:r>
                              <w:rPr>
                                <w:color w:val="000000"/>
                                <w:sz w:val="24"/>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Enron is #7 on the Fortune 500 and is consistently recognized as one of the most innovative companies in the world.  In addition, Enron ranks in the top quartile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Heading1"/>
                              <w:ind w:hanging="0" w:start="0"/>
                              <w:rPr>
                                <w:color w:val="000000"/>
                                <w:sz w:val="24"/>
                              </w:rPr>
                            </w:pPr>
                            <w:r>
                              <w:rPr>
                                <w:color w:val="000000"/>
                                <w:sz w:val="24"/>
                              </w:rPr>
                            </w:r>
                          </w:p>
                          <w:p>
                            <w:pPr>
                              <w:pStyle w:val="Heading1"/>
                              <w:ind w:hanging="0" w:start="0"/>
                              <w:rPr>
                                <w:b/>
                                <w:bCs/>
                              </w:rPr>
                            </w:pPr>
                            <w:r>
                              <w:rPr>
                                <w:b/>
                                <w:bCs/>
                              </w:rPr>
                              <w:t>Program</w:t>
                            </w:r>
                          </w:p>
                          <w:p>
                            <w:pPr>
                              <w:pStyle w:val="BodyText2"/>
                              <w:spacing w:lineRule="auto" w:line="240"/>
                              <w:rPr>
                                <w:sz w:val="24"/>
                              </w:rPr>
                            </w:pPr>
                            <w:r>
                              <w:rPr>
                                <w:sz w:val="24"/>
                              </w:rPr>
                              <w:t xml:space="preserve">The 24-36 month Analyst program, designed to develop entry-level professionals, is rotational in nature.  Placements are typically one year in length and allow the Analyst to experience several different business units within Enron.  Exposure to a variety of Enron’s competitive businesses and innovative services provides an opportunity to gain new knowledge, acquire additional skills, and provides the avenue to build an understanding of Enron’s core competencies and culture.  </w:t>
                            </w:r>
                          </w:p>
                          <w:p>
                            <w:pPr>
                              <w:pStyle w:val="Normal"/>
                              <w:ind w:firstLine="720" w:end="0"/>
                              <w:rPr>
                                <w:b/>
                                <w:bCs/>
                                <w:sz w:val="24"/>
                              </w:rPr>
                            </w:pPr>
                            <w:r>
                              <w:rPr>
                                <w:b/>
                                <w:bCs/>
                                <w:sz w:val="24"/>
                              </w:rPr>
                            </w:r>
                          </w:p>
                          <w:p>
                            <w:pPr>
                              <w:pStyle w:val="Normal"/>
                              <w:ind w:firstLine="720" w:end="0"/>
                              <w:rPr>
                                <w:b/>
                                <w:bCs/>
                                <w:sz w:val="24"/>
                              </w:rPr>
                            </w:pPr>
                            <w:r>
                              <w:rPr>
                                <w:b/>
                                <w:bCs/>
                                <w:sz w:val="24"/>
                              </w:rPr>
                              <w:t>Rotation opportunities exist in, but are not limited to, these areas:</w:t>
                            </w:r>
                          </w:p>
                          <w:p>
                            <w:pPr>
                              <w:pStyle w:val="Normal"/>
                              <w:ind w:firstLine="720" w:end="0"/>
                              <w:rPr/>
                            </w:pPr>
                            <w:r>
                              <w:rPr>
                                <w:b/>
                                <w:bCs/>
                                <w:sz w:val="24"/>
                              </w:rPr>
                              <w:tab/>
                            </w:r>
                            <w:r>
                              <w:rPr>
                                <w:rFonts w:eastAsia="Symbol" w:cs="Symbol" w:ascii="Symbol" w:hAnsi="Symbol"/>
                                <w:b/>
                                <w:bCs/>
                                <w:sz w:val="24"/>
                              </w:rPr>
                              <w:sym w:font="Symbol" w:char="f0b7"/>
                            </w:r>
                            <w:r>
                              <w:rPr>
                                <w:b/>
                                <w:bCs/>
                                <w:sz w:val="24"/>
                              </w:rPr>
                              <w:tab/>
                            </w:r>
                            <w:r>
                              <w:rPr>
                                <w:sz w:val="24"/>
                              </w:rPr>
                              <w:t>Trading and Risk Management</w:t>
                              <w:tab/>
                            </w:r>
                            <w:r>
                              <w:rPr>
                                <w:rFonts w:eastAsia="Symbol" w:cs="Symbol" w:ascii="Symbol" w:hAnsi="Symbol"/>
                                <w:sz w:val="24"/>
                              </w:rPr>
                              <w:sym w:font="Symbol" w:char="f0b7"/>
                            </w:r>
                            <w:r>
                              <w:rPr>
                                <w:sz w:val="24"/>
                              </w:rPr>
                              <w:tab/>
                              <w:t>Deal Structuring</w:t>
                            </w:r>
                          </w:p>
                          <w:p>
                            <w:pPr>
                              <w:pStyle w:val="Normal"/>
                              <w:ind w:firstLine="720" w:end="0"/>
                              <w:rPr/>
                            </w:pPr>
                            <w:r>
                              <w:rPr>
                                <w:sz w:val="24"/>
                              </w:rPr>
                              <w:tab/>
                            </w:r>
                            <w:r>
                              <w:rPr>
                                <w:rFonts w:eastAsia="Symbol" w:cs="Symbol" w:ascii="Symbol" w:hAnsi="Symbol"/>
                                <w:sz w:val="24"/>
                              </w:rPr>
                              <w:sym w:font="Symbol" w:char="f0b7"/>
                            </w:r>
                            <w:r>
                              <w:rPr>
                                <w:sz w:val="24"/>
                              </w:rPr>
                              <w:tab/>
                              <w:t>Market Fundamentals</w:t>
                              <w:tab/>
                              <w:tab/>
                              <w:tab/>
                            </w:r>
                            <w:r>
                              <w:rPr>
                                <w:rFonts w:eastAsia="Symbol" w:cs="Symbol" w:ascii="Symbol" w:hAnsi="Symbol"/>
                                <w:sz w:val="24"/>
                              </w:rPr>
                              <w:sym w:font="Symbol" w:char="f0b7"/>
                            </w:r>
                            <w:r>
                              <w:rPr>
                                <w:sz w:val="24"/>
                              </w:rPr>
                              <w:tab/>
                              <w:t>Origination</w:t>
                            </w:r>
                          </w:p>
                          <w:p>
                            <w:pPr>
                              <w:pStyle w:val="Normal"/>
                              <w:ind w:firstLine="720" w:end="0"/>
                              <w:rPr/>
                            </w:pPr>
                            <w:r>
                              <w:rPr>
                                <w:sz w:val="24"/>
                              </w:rPr>
                              <w:tab/>
                            </w:r>
                            <w:r>
                              <w:rPr>
                                <w:rFonts w:eastAsia="Symbol" w:cs="Symbol" w:ascii="Symbol" w:hAnsi="Symbol"/>
                                <w:sz w:val="24"/>
                              </w:rPr>
                              <w:sym w:font="Symbol" w:char="f0b7"/>
                            </w:r>
                            <w:r>
                              <w:rPr>
                                <w:sz w:val="24"/>
                              </w:rPr>
                              <w:tab/>
                              <w:t>Corporate Finance</w:t>
                              <w:tab/>
                              <w:tab/>
                              <w:tab/>
                            </w:r>
                            <w:r>
                              <w:rPr>
                                <w:rFonts w:eastAsia="Symbol" w:cs="Symbol" w:ascii="Symbol" w:hAnsi="Symbol"/>
                                <w:sz w:val="24"/>
                              </w:rPr>
                              <w:sym w:font="Symbol" w:char="f0b7"/>
                            </w:r>
                            <w:r>
                              <w:rPr>
                                <w:sz w:val="24"/>
                              </w:rPr>
                              <w:tab/>
                              <w:t>Logistics</w:t>
                            </w:r>
                          </w:p>
                          <w:p>
                            <w:pPr>
                              <w:pStyle w:val="Normal"/>
                              <w:ind w:firstLine="720" w:end="0"/>
                              <w:rPr/>
                            </w:pPr>
                            <w:r>
                              <w:rPr>
                                <w:sz w:val="24"/>
                              </w:rPr>
                              <w:tab/>
                            </w:r>
                            <w:r>
                              <w:rPr>
                                <w:rFonts w:eastAsia="Symbol" w:cs="Symbol" w:ascii="Symbol" w:hAnsi="Symbol"/>
                                <w:sz w:val="24"/>
                              </w:rPr>
                              <w:sym w:font="Symbol" w:char="f0b7"/>
                            </w:r>
                            <w:r>
                              <w:rPr>
                                <w:sz w:val="24"/>
                              </w:rPr>
                              <w:tab/>
                              <w:t>Risk Analysis and Controls</w:t>
                            </w:r>
                          </w:p>
                          <w:p>
                            <w:pPr>
                              <w:pStyle w:val="BodyText"/>
                              <w:tabs>
                                <w:tab w:val="clear" w:pos="540"/>
                              </w:tabs>
                              <w:rPr>
                                <w:spacing w:val="0"/>
                                <w:sz w:val="24"/>
                              </w:rPr>
                            </w:pPr>
                            <w:r>
                              <w:rPr>
                                <w:spacing w:val="0"/>
                                <w:sz w:val="24"/>
                              </w:rPr>
                            </w:r>
                          </w:p>
                          <w:p>
                            <w:pPr>
                              <w:pStyle w:val="BodyText"/>
                              <w:tabs>
                                <w:tab w:val="clear" w:pos="540"/>
                              </w:tabs>
                              <w:rPr>
                                <w:spacing w:val="0"/>
                              </w:rPr>
                            </w:pPr>
                            <w:r>
                              <w:rPr>
                                <w:spacing w:val="0"/>
                              </w:rPr>
                              <w:t>After 24 months, Analysts may be eligible to continue in the Program or take advantage of Enron’s educational assistance program and attend business school.  At the end of 36 months, Analysts may also have the opportunity to be promoted to Associate.</w:t>
                            </w:r>
                          </w:p>
                          <w:p>
                            <w:pPr>
                              <w:pStyle w:val="Heading2"/>
                              <w:ind w:hanging="0" w:start="0"/>
                              <w:rPr>
                                <w:b/>
                                <w:bCs/>
                                <w:spacing w:val="0"/>
                                <w:sz w:val="36"/>
                              </w:rPr>
                            </w:pPr>
                            <w:r>
                              <w:rPr>
                                <w:b/>
                                <w:bCs/>
                                <w:spacing w:val="0"/>
                                <w:sz w:val="36"/>
                              </w:rPr>
                            </w:r>
                          </w:p>
                          <w:p>
                            <w:pPr>
                              <w:pStyle w:val="Heading2"/>
                              <w:ind w:hanging="0" w:start="0"/>
                              <w:rPr>
                                <w:b/>
                                <w:bCs/>
                                <w:sz w:val="36"/>
                              </w:rPr>
                            </w:pPr>
                            <w:r>
                              <w:rPr>
                                <w:b/>
                                <w:bCs/>
                                <w:sz w:val="36"/>
                              </w:rPr>
                              <w:t>Candidate Profile</w:t>
                            </w:r>
                          </w:p>
                          <w:p>
                            <w:pPr>
                              <w:pStyle w:val="Heading2"/>
                              <w:ind w:hanging="0" w:start="0"/>
                              <w:rPr/>
                            </w:pPr>
                            <w:r>
                              <w:rPr>
                                <w:sz w:val="24"/>
                              </w:rPr>
                              <w:t>A successful Analyst has strong quantitative skills and the flexibility to thrive in a fast-paced and</w:t>
                            </w:r>
                            <w:r>
                              <w:rPr>
                                <w:b/>
                                <w:bCs/>
                                <w:sz w:val="24"/>
                              </w:rPr>
                              <w:t xml:space="preserve"> </w:t>
                            </w:r>
                            <w:r>
                              <w:rPr>
                                <w:sz w:val="24"/>
                              </w:rPr>
                              <w:t>rapidly changing environment.  Candidates typically have an undergraduate level degree in quantitative discipline such as finance, economics, accounting,</w:t>
                            </w:r>
                            <w:r>
                              <w:rPr>
                                <w:b/>
                                <w:bCs/>
                                <w:sz w:val="24"/>
                              </w:rPr>
                              <w:t xml:space="preserve"> </w:t>
                            </w:r>
                            <w:r>
                              <w:rPr>
                                <w:sz w:val="24"/>
                              </w:rPr>
                              <w:t>MIS, computer</w:t>
                            </w:r>
                            <w:r>
                              <w:rPr/>
                              <w:t xml:space="preserve"> </w:t>
                            </w:r>
                            <w:r>
                              <w:rPr>
                                <w:sz w:val="24"/>
                              </w:rPr>
                              <w:t>science or engineering with some relevant financial or industry internship experience.  Candidates must also be skilled in using</w:t>
                            </w:r>
                            <w:r>
                              <w:rPr>
                                <w:b/>
                                <w:bCs/>
                                <w:sz w:val="24"/>
                              </w:rPr>
                              <w:t xml:space="preserve"> </w:t>
                            </w:r>
                            <w:r>
                              <w:rPr>
                                <w:sz w:val="24"/>
                              </w:rPr>
                              <w:t>personal computers and programs such as Excel, Power</w:t>
                            </w:r>
                            <w:r>
                              <w:rPr/>
                              <w:t xml:space="preserve"> </w:t>
                            </w:r>
                            <w:r>
                              <w:rPr>
                                <w:sz w:val="24"/>
                              </w:rPr>
                              <w:t>Point, and word.  A</w:t>
                            </w:r>
                            <w:r>
                              <w:rPr>
                                <w:b/>
                                <w:bCs/>
                                <w:sz w:val="24"/>
                              </w:rPr>
                              <w:t xml:space="preserve"> </w:t>
                            </w:r>
                            <w:r>
                              <w:rPr>
                                <w:sz w:val="24"/>
                              </w:rPr>
                              <w:t>GPA of 3.0 or better is desired and positions are available to students graduating in December 2001</w:t>
                            </w:r>
                            <w:r>
                              <w:rPr>
                                <w:b/>
                                <w:bCs/>
                                <w:sz w:val="24"/>
                              </w:rPr>
                              <w:t xml:space="preserve"> </w:t>
                            </w:r>
                            <w:r>
                              <w:rPr>
                                <w:sz w:val="24"/>
                              </w:rPr>
                              <w:t>or the Spring and</w:t>
                            </w:r>
                            <w:r>
                              <w:rPr/>
                              <w:t xml:space="preserve"> </w:t>
                            </w:r>
                            <w:r>
                              <w:rPr>
                                <w:sz w:val="24"/>
                              </w:rPr>
                              <w:t>Summer of 2002.</w:t>
                            </w:r>
                          </w:p>
                          <w:p>
                            <w:pPr>
                              <w:pStyle w:val="Heading2"/>
                              <w:ind w:hanging="0" w:start="0"/>
                              <w:rPr>
                                <w:sz w:val="24"/>
                              </w:rPr>
                            </w:pPr>
                            <w:r>
                              <w:rPr>
                                <w:sz w:val="24"/>
                              </w:rPr>
                            </w:r>
                          </w:p>
                          <w:p>
                            <w:pPr>
                              <w:pStyle w:val="Heading2"/>
                              <w:ind w:hanging="0" w:start="0"/>
                              <w:rPr/>
                            </w:pPr>
                            <w:r>
                              <w:rPr>
                                <w:sz w:val="24"/>
                              </w:rPr>
                              <w:t>Analyst positions are primarily located in Houston, Texas but</w:t>
                            </w:r>
                            <w:r>
                              <w:rPr/>
                              <w:t xml:space="preserve"> </w:t>
                            </w:r>
                            <w:r>
                              <w:rPr>
                                <w:sz w:val="24"/>
                              </w:rPr>
                              <w:t>may be available at other locations where Enron has offices.</w:t>
                            </w:r>
                          </w:p>
                          <w:p>
                            <w:pPr>
                              <w:pStyle w:val="Normal"/>
                              <w:tabs>
                                <w:tab w:val="clear" w:pos="720"/>
                                <w:tab w:val="left" w:pos="4320" w:leader="none"/>
                              </w:tabs>
                              <w:jc w:val="both"/>
                              <w:rPr>
                                <w:rFonts w:ascii="Arial" w:hAnsi="Arial" w:cs="Arial"/>
                                <w:sz w:val="22"/>
                              </w:rPr>
                            </w:pPr>
                            <w:r>
                              <w:rPr>
                                <w:rFonts w:cs="Arial" w:ascii="Arial" w:hAnsi="Arial"/>
                                <w:sz w:val="22"/>
                              </w:rPr>
                            </w:r>
                          </w:p>
                        </w:txbxContent>
                      </wps:txbx>
                      <wps:bodyPr anchor="t" lIns="91440" tIns="45720" rIns="91440" bIns="45720">
                        <a:noAutofit/>
                      </wps:bodyPr>
                    </wps:wsp>
                  </a:graphicData>
                </a:graphic>
              </wp:anchor>
            </w:drawing>
          </mc:Choice>
          <mc:Fallback>
            <w:pict>
              <v:rect fillcolor="#FFFFFF" strokecolor="#000000" strokeweight="0pt" style="position:absolute;rotation:-0;width:531.7pt;height:558.7pt;mso-wrap-distance-left:9.05pt;mso-wrap-distance-right:9.05pt;mso-wrap-distance-top:0pt;mso-wrap-distance-bottom:0pt;margin-top:34.65pt;mso-position-vertical-relative:text;margin-left:-31.85pt;mso-position-horizontal:center;mso-position-horizontal-relative:text">
                <v:textbox>
                  <w:txbxContent>
                    <w:p>
                      <w:pPr>
                        <w:pStyle w:val="Heading1"/>
                        <w:ind w:hanging="0" w:start="0"/>
                        <w:rPr>
                          <w:b/>
                          <w:bCs/>
                        </w:rPr>
                      </w:pPr>
                      <w:r>
                        <w:rPr>
                          <w:b/>
                          <w:bCs/>
                        </w:rPr>
                        <w:t>Company Profile</w:t>
                      </w:r>
                    </w:p>
                    <w:p>
                      <w:pPr>
                        <w:pStyle w:val="Normal"/>
                        <w:rPr/>
                      </w:pPr>
                      <w:r>
                        <w:rPr>
                          <w:color w:val="000000"/>
                          <w:sz w:val="24"/>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Enron is #7 on the Fortune 500 and is consistently recognized as one of the most innovative companies in the world.  In addition, Enron ranks in the top quartile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Heading1"/>
                        <w:ind w:hanging="0" w:start="0"/>
                        <w:rPr>
                          <w:color w:val="000000"/>
                          <w:sz w:val="24"/>
                        </w:rPr>
                      </w:pPr>
                      <w:r>
                        <w:rPr>
                          <w:color w:val="000000"/>
                          <w:sz w:val="24"/>
                        </w:rPr>
                      </w:r>
                    </w:p>
                    <w:p>
                      <w:pPr>
                        <w:pStyle w:val="Heading1"/>
                        <w:ind w:hanging="0" w:start="0"/>
                        <w:rPr>
                          <w:b/>
                          <w:bCs/>
                        </w:rPr>
                      </w:pPr>
                      <w:r>
                        <w:rPr>
                          <w:b/>
                          <w:bCs/>
                        </w:rPr>
                        <w:t>Program</w:t>
                      </w:r>
                    </w:p>
                    <w:p>
                      <w:pPr>
                        <w:pStyle w:val="BodyText2"/>
                        <w:spacing w:lineRule="auto" w:line="240"/>
                        <w:rPr>
                          <w:sz w:val="24"/>
                        </w:rPr>
                      </w:pPr>
                      <w:r>
                        <w:rPr>
                          <w:sz w:val="24"/>
                        </w:rPr>
                        <w:t xml:space="preserve">The 24-36 month Analyst program, designed to develop entry-level professionals, is rotational in nature.  Placements are typically one year in length and allow the Analyst to experience several different business units within Enron.  Exposure to a variety of Enron’s competitive businesses and innovative services provides an opportunity to gain new knowledge, acquire additional skills, and provides the avenue to build an understanding of Enron’s core competencies and culture.  </w:t>
                      </w:r>
                    </w:p>
                    <w:p>
                      <w:pPr>
                        <w:pStyle w:val="Normal"/>
                        <w:ind w:firstLine="720" w:end="0"/>
                        <w:rPr>
                          <w:b/>
                          <w:bCs/>
                          <w:sz w:val="24"/>
                        </w:rPr>
                      </w:pPr>
                      <w:r>
                        <w:rPr>
                          <w:b/>
                          <w:bCs/>
                          <w:sz w:val="24"/>
                        </w:rPr>
                      </w:r>
                    </w:p>
                    <w:p>
                      <w:pPr>
                        <w:pStyle w:val="Normal"/>
                        <w:ind w:firstLine="720" w:end="0"/>
                        <w:rPr>
                          <w:b/>
                          <w:bCs/>
                          <w:sz w:val="24"/>
                        </w:rPr>
                      </w:pPr>
                      <w:r>
                        <w:rPr>
                          <w:b/>
                          <w:bCs/>
                          <w:sz w:val="24"/>
                        </w:rPr>
                        <w:t>Rotation opportunities exist in, but are not limited to, these areas:</w:t>
                      </w:r>
                    </w:p>
                    <w:p>
                      <w:pPr>
                        <w:pStyle w:val="Normal"/>
                        <w:ind w:firstLine="720" w:end="0"/>
                        <w:rPr/>
                      </w:pPr>
                      <w:r>
                        <w:rPr>
                          <w:b/>
                          <w:bCs/>
                          <w:sz w:val="24"/>
                        </w:rPr>
                        <w:tab/>
                      </w:r>
                      <w:r>
                        <w:rPr>
                          <w:rFonts w:eastAsia="Symbol" w:cs="Symbol" w:ascii="Symbol" w:hAnsi="Symbol"/>
                          <w:b/>
                          <w:bCs/>
                          <w:sz w:val="24"/>
                        </w:rPr>
                        <w:sym w:font="Symbol" w:char="f0b7"/>
                      </w:r>
                      <w:r>
                        <w:rPr>
                          <w:b/>
                          <w:bCs/>
                          <w:sz w:val="24"/>
                        </w:rPr>
                        <w:tab/>
                      </w:r>
                      <w:r>
                        <w:rPr>
                          <w:sz w:val="24"/>
                        </w:rPr>
                        <w:t>Trading and Risk Management</w:t>
                        <w:tab/>
                      </w:r>
                      <w:r>
                        <w:rPr>
                          <w:rFonts w:eastAsia="Symbol" w:cs="Symbol" w:ascii="Symbol" w:hAnsi="Symbol"/>
                          <w:sz w:val="24"/>
                        </w:rPr>
                        <w:sym w:font="Symbol" w:char="f0b7"/>
                      </w:r>
                      <w:r>
                        <w:rPr>
                          <w:sz w:val="24"/>
                        </w:rPr>
                        <w:tab/>
                        <w:t>Deal Structuring</w:t>
                      </w:r>
                    </w:p>
                    <w:p>
                      <w:pPr>
                        <w:pStyle w:val="Normal"/>
                        <w:ind w:firstLine="720" w:end="0"/>
                        <w:rPr/>
                      </w:pPr>
                      <w:r>
                        <w:rPr>
                          <w:sz w:val="24"/>
                        </w:rPr>
                        <w:tab/>
                      </w:r>
                      <w:r>
                        <w:rPr>
                          <w:rFonts w:eastAsia="Symbol" w:cs="Symbol" w:ascii="Symbol" w:hAnsi="Symbol"/>
                          <w:sz w:val="24"/>
                        </w:rPr>
                        <w:sym w:font="Symbol" w:char="f0b7"/>
                      </w:r>
                      <w:r>
                        <w:rPr>
                          <w:sz w:val="24"/>
                        </w:rPr>
                        <w:tab/>
                        <w:t>Market Fundamentals</w:t>
                        <w:tab/>
                        <w:tab/>
                        <w:tab/>
                      </w:r>
                      <w:r>
                        <w:rPr>
                          <w:rFonts w:eastAsia="Symbol" w:cs="Symbol" w:ascii="Symbol" w:hAnsi="Symbol"/>
                          <w:sz w:val="24"/>
                        </w:rPr>
                        <w:sym w:font="Symbol" w:char="f0b7"/>
                      </w:r>
                      <w:r>
                        <w:rPr>
                          <w:sz w:val="24"/>
                        </w:rPr>
                        <w:tab/>
                        <w:t>Origination</w:t>
                      </w:r>
                    </w:p>
                    <w:p>
                      <w:pPr>
                        <w:pStyle w:val="Normal"/>
                        <w:ind w:firstLine="720" w:end="0"/>
                        <w:rPr/>
                      </w:pPr>
                      <w:r>
                        <w:rPr>
                          <w:sz w:val="24"/>
                        </w:rPr>
                        <w:tab/>
                      </w:r>
                      <w:r>
                        <w:rPr>
                          <w:rFonts w:eastAsia="Symbol" w:cs="Symbol" w:ascii="Symbol" w:hAnsi="Symbol"/>
                          <w:sz w:val="24"/>
                        </w:rPr>
                        <w:sym w:font="Symbol" w:char="f0b7"/>
                      </w:r>
                      <w:r>
                        <w:rPr>
                          <w:sz w:val="24"/>
                        </w:rPr>
                        <w:tab/>
                        <w:t>Corporate Finance</w:t>
                        <w:tab/>
                        <w:tab/>
                        <w:tab/>
                      </w:r>
                      <w:r>
                        <w:rPr>
                          <w:rFonts w:eastAsia="Symbol" w:cs="Symbol" w:ascii="Symbol" w:hAnsi="Symbol"/>
                          <w:sz w:val="24"/>
                        </w:rPr>
                        <w:sym w:font="Symbol" w:char="f0b7"/>
                      </w:r>
                      <w:r>
                        <w:rPr>
                          <w:sz w:val="24"/>
                        </w:rPr>
                        <w:tab/>
                        <w:t>Logistics</w:t>
                      </w:r>
                    </w:p>
                    <w:p>
                      <w:pPr>
                        <w:pStyle w:val="Normal"/>
                        <w:ind w:firstLine="720" w:end="0"/>
                        <w:rPr/>
                      </w:pPr>
                      <w:r>
                        <w:rPr>
                          <w:sz w:val="24"/>
                        </w:rPr>
                        <w:tab/>
                      </w:r>
                      <w:r>
                        <w:rPr>
                          <w:rFonts w:eastAsia="Symbol" w:cs="Symbol" w:ascii="Symbol" w:hAnsi="Symbol"/>
                          <w:sz w:val="24"/>
                        </w:rPr>
                        <w:sym w:font="Symbol" w:char="f0b7"/>
                      </w:r>
                      <w:r>
                        <w:rPr>
                          <w:sz w:val="24"/>
                        </w:rPr>
                        <w:tab/>
                        <w:t>Risk Analysis and Controls</w:t>
                      </w:r>
                    </w:p>
                    <w:p>
                      <w:pPr>
                        <w:pStyle w:val="BodyText"/>
                        <w:tabs>
                          <w:tab w:val="clear" w:pos="540"/>
                        </w:tabs>
                        <w:rPr>
                          <w:spacing w:val="0"/>
                          <w:sz w:val="24"/>
                        </w:rPr>
                      </w:pPr>
                      <w:r>
                        <w:rPr>
                          <w:spacing w:val="0"/>
                          <w:sz w:val="24"/>
                        </w:rPr>
                      </w:r>
                    </w:p>
                    <w:p>
                      <w:pPr>
                        <w:pStyle w:val="BodyText"/>
                        <w:tabs>
                          <w:tab w:val="clear" w:pos="540"/>
                        </w:tabs>
                        <w:rPr>
                          <w:spacing w:val="0"/>
                        </w:rPr>
                      </w:pPr>
                      <w:r>
                        <w:rPr>
                          <w:spacing w:val="0"/>
                        </w:rPr>
                        <w:t>After 24 months, Analysts may be eligible to continue in the Program or take advantage of Enron’s educational assistance program and attend business school.  At the end of 36 months, Analysts may also have the opportunity to be promoted to Associate.</w:t>
                      </w:r>
                    </w:p>
                    <w:p>
                      <w:pPr>
                        <w:pStyle w:val="Heading2"/>
                        <w:ind w:hanging="0" w:start="0"/>
                        <w:rPr>
                          <w:b/>
                          <w:bCs/>
                          <w:spacing w:val="0"/>
                          <w:sz w:val="36"/>
                        </w:rPr>
                      </w:pPr>
                      <w:r>
                        <w:rPr>
                          <w:b/>
                          <w:bCs/>
                          <w:spacing w:val="0"/>
                          <w:sz w:val="36"/>
                        </w:rPr>
                      </w:r>
                    </w:p>
                    <w:p>
                      <w:pPr>
                        <w:pStyle w:val="Heading2"/>
                        <w:ind w:hanging="0" w:start="0"/>
                        <w:rPr>
                          <w:b/>
                          <w:bCs/>
                          <w:sz w:val="36"/>
                        </w:rPr>
                      </w:pPr>
                      <w:r>
                        <w:rPr>
                          <w:b/>
                          <w:bCs/>
                          <w:sz w:val="36"/>
                        </w:rPr>
                        <w:t>Candidate Profile</w:t>
                      </w:r>
                    </w:p>
                    <w:p>
                      <w:pPr>
                        <w:pStyle w:val="Heading2"/>
                        <w:ind w:hanging="0" w:start="0"/>
                        <w:rPr/>
                      </w:pPr>
                      <w:r>
                        <w:rPr>
                          <w:sz w:val="24"/>
                        </w:rPr>
                        <w:t>A successful Analyst has strong quantitative skills and the flexibility to thrive in a fast-paced and</w:t>
                      </w:r>
                      <w:r>
                        <w:rPr>
                          <w:b/>
                          <w:bCs/>
                          <w:sz w:val="24"/>
                        </w:rPr>
                        <w:t xml:space="preserve"> </w:t>
                      </w:r>
                      <w:r>
                        <w:rPr>
                          <w:sz w:val="24"/>
                        </w:rPr>
                        <w:t>rapidly changing environment.  Candidates typically have an undergraduate level degree in quantitative discipline such as finance, economics, accounting,</w:t>
                      </w:r>
                      <w:r>
                        <w:rPr>
                          <w:b/>
                          <w:bCs/>
                          <w:sz w:val="24"/>
                        </w:rPr>
                        <w:t xml:space="preserve"> </w:t>
                      </w:r>
                      <w:r>
                        <w:rPr>
                          <w:sz w:val="24"/>
                        </w:rPr>
                        <w:t>MIS, computer</w:t>
                      </w:r>
                      <w:r>
                        <w:rPr/>
                        <w:t xml:space="preserve"> </w:t>
                      </w:r>
                      <w:r>
                        <w:rPr>
                          <w:sz w:val="24"/>
                        </w:rPr>
                        <w:t>science or engineering with some relevant financial or industry internship experience.  Candidates must also be skilled in using</w:t>
                      </w:r>
                      <w:r>
                        <w:rPr>
                          <w:b/>
                          <w:bCs/>
                          <w:sz w:val="24"/>
                        </w:rPr>
                        <w:t xml:space="preserve"> </w:t>
                      </w:r>
                      <w:r>
                        <w:rPr>
                          <w:sz w:val="24"/>
                        </w:rPr>
                        <w:t>personal computers and programs such as Excel, Power</w:t>
                      </w:r>
                      <w:r>
                        <w:rPr/>
                        <w:t xml:space="preserve"> </w:t>
                      </w:r>
                      <w:r>
                        <w:rPr>
                          <w:sz w:val="24"/>
                        </w:rPr>
                        <w:t>Point, and word.  A</w:t>
                      </w:r>
                      <w:r>
                        <w:rPr>
                          <w:b/>
                          <w:bCs/>
                          <w:sz w:val="24"/>
                        </w:rPr>
                        <w:t xml:space="preserve"> </w:t>
                      </w:r>
                      <w:r>
                        <w:rPr>
                          <w:sz w:val="24"/>
                        </w:rPr>
                        <w:t>GPA of 3.0 or better is desired and positions are available to students graduating in December 2001</w:t>
                      </w:r>
                      <w:r>
                        <w:rPr>
                          <w:b/>
                          <w:bCs/>
                          <w:sz w:val="24"/>
                        </w:rPr>
                        <w:t xml:space="preserve"> </w:t>
                      </w:r>
                      <w:r>
                        <w:rPr>
                          <w:sz w:val="24"/>
                        </w:rPr>
                        <w:t>or the Spring and</w:t>
                      </w:r>
                      <w:r>
                        <w:rPr/>
                        <w:t xml:space="preserve"> </w:t>
                      </w:r>
                      <w:r>
                        <w:rPr>
                          <w:sz w:val="24"/>
                        </w:rPr>
                        <w:t>Summer of 2002.</w:t>
                      </w:r>
                    </w:p>
                    <w:p>
                      <w:pPr>
                        <w:pStyle w:val="Heading2"/>
                        <w:ind w:hanging="0" w:start="0"/>
                        <w:rPr>
                          <w:sz w:val="24"/>
                        </w:rPr>
                      </w:pPr>
                      <w:r>
                        <w:rPr>
                          <w:sz w:val="24"/>
                        </w:rPr>
                      </w:r>
                    </w:p>
                    <w:p>
                      <w:pPr>
                        <w:pStyle w:val="Heading2"/>
                        <w:ind w:hanging="0" w:start="0"/>
                        <w:rPr/>
                      </w:pPr>
                      <w:r>
                        <w:rPr>
                          <w:sz w:val="24"/>
                        </w:rPr>
                        <w:t>Analyst positions are primarily located in Houston, Texas but</w:t>
                      </w:r>
                      <w:r>
                        <w:rPr/>
                        <w:t xml:space="preserve"> </w:t>
                      </w:r>
                      <w:r>
                        <w:rPr>
                          <w:sz w:val="24"/>
                        </w:rPr>
                        <w:t>may be available at other locations where Enron has offices.</w:t>
                      </w:r>
                    </w:p>
                    <w:p>
                      <w:pPr>
                        <w:pStyle w:val="Normal"/>
                        <w:tabs>
                          <w:tab w:val="clear" w:pos="720"/>
                          <w:tab w:val="left" w:pos="4320" w:leader="none"/>
                        </w:tabs>
                        <w:jc w:val="both"/>
                        <w:rPr>
                          <w:rFonts w:ascii="Arial" w:hAnsi="Arial" w:cs="Arial"/>
                          <w:sz w:val="22"/>
                        </w:rPr>
                      </w:pPr>
                      <w:r>
                        <w:rPr>
                          <w:rFonts w:cs="Arial" w:ascii="Arial" w:hAnsi="Arial"/>
                          <w:sz w:val="22"/>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868680</wp:posOffset>
                </wp:positionH>
                <wp:positionV relativeFrom="paragraph">
                  <wp:posOffset>7988300</wp:posOffset>
                </wp:positionV>
                <wp:extent cx="5354955" cy="1159510"/>
                <wp:effectExtent l="0" t="0" r="0" b="0"/>
                <wp:wrapNone/>
                <wp:docPr id="7" name="Frame3"/>
                <a:graphic xmlns:a="http://schemas.openxmlformats.org/drawingml/2006/main">
                  <a:graphicData uri="http://schemas.microsoft.com/office/word/2010/wordprocessingShape">
                    <wps:wsp>
                      <wps:cNvSpPr txBox="1"/>
                      <wps:spPr>
                        <a:xfrm>
                          <a:off x="0" y="0"/>
                          <a:ext cx="5354955" cy="1159510"/>
                        </a:xfrm>
                        <a:prstGeom prst="rect"/>
                        <a:solidFill>
                          <a:srgbClr val="FFFFFF"/>
                        </a:solidFill>
                      </wps:spPr>
                      <wps:txbx>
                        <w:txbxContent>
                          <w:p>
                            <w:pPr>
                              <w:pStyle w:val="Heading4"/>
                              <w:ind w:hanging="0" w:start="0"/>
                              <w:rPr>
                                <w:rFonts w:ascii="Arial" w:hAnsi="Arial" w:cs="Arial"/>
                              </w:rPr>
                            </w:pPr>
                            <w:r>
                              <w:rPr>
                                <w:rFonts w:cs="Arial" w:ascii="Arial" w:hAnsi="Arial"/>
                              </w:rPr>
                              <w:t xml:space="preserve">Please visit our home page - </w:t>
                            </w:r>
                            <w:r>
                              <w:rPr>
                                <w:rFonts w:cs="Arial" w:ascii="Arial" w:hAnsi="Arial"/>
                                <w:u w:val="single"/>
                              </w:rPr>
                              <w:t>http://www.enron.com</w:t>
                            </w:r>
                          </w:p>
                          <w:p>
                            <w:pPr>
                              <w:pStyle w:val="Heading5"/>
                              <w:ind w:hanging="0" w:start="0"/>
                              <w:rPr>
                                <w:i w:val="false"/>
                                <w:i w:val="false"/>
                              </w:rPr>
                            </w:pPr>
                            <w:r>
                              <w:rPr>
                                <w:rFonts w:cs="Arial" w:ascii="Arial" w:hAnsi="Arial"/>
                              </w:rPr>
                              <w:t xml:space="preserve">We are an equal opportunity employer  </w:t>
                            </w:r>
                            <w:r>
                              <w:rPr>
                                <w:rFonts w:cs="Arial" w:ascii="Arial" w:hAnsi="Arial"/>
                                <w:i w:val="false"/>
                              </w:rPr>
                              <w:t xml:space="preserve">                       </w:t>
                            </w:r>
                          </w:p>
                          <w:p>
                            <w:pPr>
                              <w:pStyle w:val="Normal"/>
                              <w:rPr>
                                <w:i/>
                                <w:i/>
                              </w:rPr>
                            </w:pPr>
                            <w:r>
                              <w:rPr>
                                <w:i/>
                              </w:rPr>
                            </w:r>
                          </w:p>
                        </w:txbxContent>
                      </wps:txbx>
                      <wps:bodyPr anchor="t" lIns="92075" tIns="46355" rIns="92075" bIns="46355">
                        <a:noAutofit/>
                      </wps:bodyPr>
                    </wps:wsp>
                  </a:graphicData>
                </a:graphic>
              </wp:anchor>
            </w:drawing>
          </mc:Choice>
          <mc:Fallback>
            <w:pict>
              <v:rect fillcolor="#FFFFFF" style="position:absolute;rotation:-0;width:421.65pt;height:91.3pt;mso-wrap-distance-left:9.05pt;mso-wrap-distance-right:9.05pt;mso-wrap-distance-top:0pt;mso-wrap-distance-bottom:0pt;margin-top:629pt;mso-position-vertical-relative:text;margin-left:68.4pt;mso-position-horizontal-relative:text">
                <v:textbox inset="0.100694444444444in,0.0506944444444444in,0.100694444444444in,0.0506944444444444in">
                  <w:txbxContent>
                    <w:p>
                      <w:pPr>
                        <w:pStyle w:val="Heading4"/>
                        <w:ind w:hanging="0" w:start="0"/>
                        <w:rPr>
                          <w:rFonts w:ascii="Arial" w:hAnsi="Arial" w:cs="Arial"/>
                        </w:rPr>
                      </w:pPr>
                      <w:r>
                        <w:rPr>
                          <w:rFonts w:cs="Arial" w:ascii="Arial" w:hAnsi="Arial"/>
                        </w:rPr>
                        <w:t xml:space="preserve">Please visit our home page - </w:t>
                      </w:r>
                      <w:r>
                        <w:rPr>
                          <w:rFonts w:cs="Arial" w:ascii="Arial" w:hAnsi="Arial"/>
                          <w:u w:val="single"/>
                        </w:rPr>
                        <w:t>http://www.enron.com</w:t>
                      </w:r>
                    </w:p>
                    <w:p>
                      <w:pPr>
                        <w:pStyle w:val="Heading5"/>
                        <w:ind w:hanging="0" w:start="0"/>
                        <w:rPr>
                          <w:i w:val="false"/>
                          <w:i w:val="false"/>
                        </w:rPr>
                      </w:pPr>
                      <w:r>
                        <w:rPr>
                          <w:rFonts w:cs="Arial" w:ascii="Arial" w:hAnsi="Arial"/>
                        </w:rPr>
                        <w:t xml:space="preserve">We are an equal opportunity employer  </w:t>
                      </w:r>
                      <w:r>
                        <w:rPr>
                          <w:rFonts w:cs="Arial" w:ascii="Arial" w:hAnsi="Arial"/>
                          <w:i w:val="false"/>
                        </w:rPr>
                        <w:t xml:space="preserve">                       </w:t>
                      </w:r>
                    </w:p>
                    <w:p>
                      <w:pPr>
                        <w:pStyle w:val="Normal"/>
                        <w:rPr>
                          <w:i/>
                          <w:i/>
                        </w:rPr>
                      </w:pPr>
                      <w:r>
                        <w:rPr>
                          <w:i/>
                        </w:rPr>
                      </w:r>
                    </w:p>
                  </w:txbxContent>
                </v:textbox>
                <w10:wrap type="none"/>
              </v:rect>
            </w:pict>
          </mc:Fallback>
        </mc:AlternateConten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36"/>
    </w:rPr>
  </w:style>
  <w:style w:type="paragraph" w:styleId="Heading2">
    <w:name w:val="heading 2"/>
    <w:basedOn w:val="Normal"/>
    <w:next w:val="Normal"/>
    <w:qFormat/>
    <w:pPr>
      <w:keepNext w:val="true"/>
      <w:numPr>
        <w:ilvl w:val="1"/>
        <w:numId w:val="1"/>
      </w:numPr>
      <w:outlineLvl w:val="1"/>
    </w:pPr>
    <w:rPr>
      <w:sz w:val="48"/>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center"/>
      <w:outlineLvl w:val="4"/>
    </w:pPr>
    <w:rPr>
      <w:rFonts w:ascii="Arial Narrow" w:hAnsi="Arial Narrow" w:cs="Arial Narrow"/>
      <w:i/>
      <w:sz w:val="24"/>
    </w:rPr>
  </w:style>
  <w:style w:type="paragraph" w:styleId="Heading6">
    <w:name w:val="heading 6"/>
    <w:basedOn w:val="Normal"/>
    <w:next w:val="Normal"/>
    <w:qFormat/>
    <w:pPr>
      <w:keepNext w:val="true"/>
      <w:numPr>
        <w:ilvl w:val="5"/>
        <w:numId w:val="1"/>
      </w:numPr>
      <w:jc w:val="center"/>
      <w:outlineLvl w:val="5"/>
    </w:pPr>
    <w:rPr>
      <w:rFonts w:ascii="Arial" w:hAnsi="Arial" w:cs="Arial"/>
      <w:sz w:val="48"/>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sz w:val="16"/>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sz w:val="16"/>
    </w:rPr>
  </w:style>
  <w:style w:type="character" w:styleId="WW8Num18z0">
    <w:name w:val="WW8Num18z0"/>
    <w:qFormat/>
    <w:rPr>
      <w:rFonts w:ascii="Wingdings" w:hAnsi="Wingdings" w:cs="Wingdings"/>
      <w:sz w:val="16"/>
    </w:rPr>
  </w:style>
  <w:style w:type="character" w:styleId="WW8Num19z0">
    <w:name w:val="WW8Num1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40" w:leader="none"/>
      </w:tabs>
    </w:pPr>
    <w:rPr>
      <w:spacing w:val="-5"/>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notebk temp</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2001-10-15T14:57:00Z</dcterms:created>
  <dc:creator>ckuehl</dc:creator>
  <dc:description/>
  <dc:language>en-CA</dc:language>
  <cp:lastModifiedBy>tflorio</cp:lastModifiedBy>
  <cp:lastPrinted>2001-07-27T10:18:00Z</cp:lastPrinted>
  <dcterms:modified xsi:type="dcterms:W3CDTF">2001-10-15T14:57:00Z</dcterms:modified>
  <cp:revision>2</cp:revision>
  <dc:subject/>
  <dc:title/>
</cp:coreProperties>
</file>