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color w:val="000000"/>
          <w:sz w:val="28"/>
          <w:lang w:eastAsia="en-US"/>
        </w:rPr>
      </w:pPr>
      <w:r>
        <w:rPr>
          <w:rFonts w:cs="Arial" w:ascii="Arial" w:hAnsi="Arial"/>
          <w:b/>
          <w:color w:val="000000"/>
          <w:sz w:val="28"/>
          <w:lang w:eastAsia="en-US"/>
        </w:rPr>
        <w:t xml:space="preserve">Analysis of DPC's Break-Even Tariff Versus </w:t>
      </w:r>
    </w:p>
    <w:p>
      <w:pPr>
        <w:pStyle w:val="Normal"/>
        <w:jc w:val="center"/>
        <w:rPr>
          <w:b/>
          <w:sz w:val="28"/>
        </w:rPr>
      </w:pPr>
      <w:r>
        <w:rPr>
          <w:rFonts w:cs="Arial" w:ascii="Arial" w:hAnsi="Arial"/>
          <w:b/>
          <w:color w:val="000000"/>
          <w:sz w:val="28"/>
          <w:lang w:eastAsia="en-US"/>
        </w:rPr>
        <w:t>MSEB's Average Projected Realisation</w:t>
      </w:r>
    </w:p>
    <w:p>
      <w:pPr>
        <w:pStyle w:val="Normal"/>
        <w:rPr>
          <w:b/>
          <w:sz w:val="24"/>
        </w:rPr>
      </w:pPr>
      <w:r>
        <w:rPr>
          <w:b/>
          <w:sz w:val="24"/>
        </w:rPr>
      </w:r>
    </w:p>
    <w:tbl>
      <w:tblPr>
        <w:tblW w:w="7622" w:type="dxa"/>
        <w:jc w:val="start"/>
        <w:tblInd w:w="0" w:type="dxa"/>
        <w:tblLayout w:type="fixed"/>
        <w:tblCellMar>
          <w:top w:w="0" w:type="dxa"/>
          <w:start w:w="30" w:type="dxa"/>
          <w:bottom w:w="0" w:type="dxa"/>
          <w:end w:w="30" w:type="dxa"/>
        </w:tblCellMar>
      </w:tblPr>
      <w:tblGrid>
        <w:gridCol w:w="2730"/>
        <w:gridCol w:w="1081"/>
        <w:gridCol w:w="881"/>
        <w:gridCol w:w="977"/>
        <w:gridCol w:w="977"/>
        <w:gridCol w:w="976"/>
      </w:tblGrid>
      <w:tr>
        <w:trPr>
          <w:trHeight w:val="214" w:hRule="atLeast"/>
        </w:trPr>
        <w:tc>
          <w:tcPr>
            <w:tcW w:w="273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081"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88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2001</w:t>
            </w:r>
          </w:p>
        </w:tc>
        <w:tc>
          <w:tcPr>
            <w:tcW w:w="9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2002</w:t>
            </w:r>
          </w:p>
        </w:tc>
        <w:tc>
          <w:tcPr>
            <w:tcW w:w="9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2003</w:t>
            </w:r>
          </w:p>
        </w:tc>
        <w:tc>
          <w:tcPr>
            <w:tcW w:w="97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2004</w:t>
            </w:r>
          </w:p>
        </w:tc>
      </w:tr>
      <w:tr>
        <w:trPr>
          <w:trHeight w:val="214" w:hRule="atLeast"/>
        </w:trPr>
        <w:tc>
          <w:tcPr>
            <w:tcW w:w="273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Exchange Rate</w:t>
            </w:r>
          </w:p>
        </w:tc>
        <w:tc>
          <w:tcPr>
            <w:tcW w:w="108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Rs./$</w:t>
            </w:r>
          </w:p>
        </w:tc>
        <w:tc>
          <w:tcPr>
            <w:tcW w:w="881"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49.35 </w:t>
            </w:r>
          </w:p>
        </w:tc>
        <w:tc>
          <w:tcPr>
            <w:tcW w:w="9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51.82 </w:t>
            </w:r>
          </w:p>
        </w:tc>
        <w:tc>
          <w:tcPr>
            <w:tcW w:w="9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54.41 </w:t>
            </w:r>
          </w:p>
        </w:tc>
        <w:tc>
          <w:tcPr>
            <w:tcW w:w="97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57.13 </w:t>
            </w:r>
          </w:p>
        </w:tc>
      </w:tr>
    </w:tbl>
    <w:p>
      <w:pPr>
        <w:pStyle w:val="Normal"/>
        <w:rPr>
          <w:b/>
          <w:sz w:val="24"/>
        </w:rPr>
      </w:pPr>
      <w:r>
        <w:rPr>
          <w:b/>
          <w:sz w:val="24"/>
        </w:rPr>
      </w:r>
    </w:p>
    <w:tbl>
      <w:tblPr>
        <w:tblW w:w="7622" w:type="dxa"/>
        <w:jc w:val="start"/>
        <w:tblInd w:w="0" w:type="dxa"/>
        <w:tblLayout w:type="fixed"/>
        <w:tblCellMar>
          <w:top w:w="0" w:type="dxa"/>
          <w:start w:w="30" w:type="dxa"/>
          <w:bottom w:w="0" w:type="dxa"/>
          <w:end w:w="30" w:type="dxa"/>
        </w:tblCellMar>
      </w:tblPr>
      <w:tblGrid>
        <w:gridCol w:w="2730"/>
        <w:gridCol w:w="1081"/>
        <w:gridCol w:w="881"/>
        <w:gridCol w:w="977"/>
        <w:gridCol w:w="977"/>
        <w:gridCol w:w="976"/>
      </w:tblGrid>
      <w:tr>
        <w:trPr>
          <w:trHeight w:val="214" w:hRule="atLeast"/>
        </w:trPr>
        <w:tc>
          <w:tcPr>
            <w:tcW w:w="2730" w:type="dxa"/>
            <w:tcBorders>
              <w:top w:val="single" w:sz="6" w:space="0" w:color="000000"/>
              <w:start w:val="single" w:sz="6" w:space="0" w:color="000000"/>
            </w:tcBorders>
          </w:tcPr>
          <w:p>
            <w:pPr>
              <w:pStyle w:val="Normal"/>
              <w:rPr>
                <w:rFonts w:ascii="Arial" w:hAnsi="Arial" w:cs="Arial"/>
                <w:color w:val="000000"/>
                <w:lang w:eastAsia="en-US"/>
              </w:rPr>
            </w:pPr>
            <w:r>
              <w:rPr>
                <w:rFonts w:cs="Arial" w:ascii="Arial" w:hAnsi="Arial"/>
                <w:color w:val="000000"/>
                <w:lang w:eastAsia="en-US"/>
              </w:rPr>
              <w:t xml:space="preserve">Capacity Charge </w:t>
            </w:r>
            <w:r>
              <w:rPr>
                <w:rFonts w:cs="Arial" w:ascii="Arial" w:hAnsi="Arial"/>
                <w:color w:val="000000"/>
                <w:sz w:val="18"/>
                <w:lang w:eastAsia="en-US"/>
              </w:rPr>
              <w:t>(@ 75% PLF)</w:t>
            </w:r>
          </w:p>
        </w:tc>
        <w:tc>
          <w:tcPr>
            <w:tcW w:w="1081"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Cents/kwh</w:t>
            </w:r>
          </w:p>
        </w:tc>
        <w:tc>
          <w:tcPr>
            <w:tcW w:w="881" w:type="dxa"/>
            <w:tcBorders>
              <w:top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4.77 </w:t>
            </w:r>
          </w:p>
        </w:tc>
        <w:tc>
          <w:tcPr>
            <w:tcW w:w="977"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4.19 </w:t>
            </w:r>
          </w:p>
        </w:tc>
        <w:tc>
          <w:tcPr>
            <w:tcW w:w="977" w:type="dxa"/>
            <w:tcBorders>
              <w:top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4.22 </w:t>
            </w:r>
          </w:p>
        </w:tc>
        <w:tc>
          <w:tcPr>
            <w:tcW w:w="976"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4.25 </w:t>
            </w:r>
          </w:p>
        </w:tc>
      </w:tr>
      <w:tr>
        <w:trPr>
          <w:trHeight w:val="214" w:hRule="atLeast"/>
        </w:trPr>
        <w:tc>
          <w:tcPr>
            <w:tcW w:w="2730" w:type="dxa"/>
            <w:tcBorders>
              <w:start w:val="single" w:sz="6" w:space="0" w:color="000000"/>
            </w:tcBorders>
          </w:tcPr>
          <w:p>
            <w:pPr>
              <w:pStyle w:val="Normal"/>
              <w:rPr/>
            </w:pPr>
            <w:r>
              <w:rPr>
                <w:rFonts w:cs="Arial" w:ascii="Arial" w:hAnsi="Arial"/>
                <w:color w:val="000000"/>
                <w:u w:val="single"/>
                <w:lang w:eastAsia="en-US"/>
              </w:rPr>
              <w:t>Energy Charge (</w:t>
            </w:r>
            <w:r>
              <w:rPr>
                <w:rFonts w:cs="Arial" w:ascii="Arial" w:hAnsi="Arial"/>
                <w:color w:val="000000"/>
                <w:sz w:val="16"/>
                <w:u w:val="single"/>
                <w:lang w:eastAsia="en-US"/>
              </w:rPr>
              <w:t>@</w:t>
            </w:r>
            <w:r>
              <w:rPr>
                <w:rFonts w:cs="Arial" w:ascii="Arial" w:hAnsi="Arial"/>
                <w:color w:val="000000"/>
                <w:u w:val="single"/>
                <w:lang w:eastAsia="en-US"/>
              </w:rPr>
              <w:t xml:space="preserve"> 25$/bbl)</w:t>
            </w:r>
          </w:p>
        </w:tc>
        <w:tc>
          <w:tcPr>
            <w:tcW w:w="1081" w:type="dxa"/>
            <w:tcBorders>
              <w:start w:val="single" w:sz="6" w:space="0" w:color="000000"/>
              <w:end w:val="single" w:sz="6" w:space="0" w:color="000000"/>
            </w:tcBorders>
          </w:tcPr>
          <w:p>
            <w:pPr>
              <w:pStyle w:val="Normal"/>
              <w:jc w:val="center"/>
              <w:rPr>
                <w:rFonts w:ascii="Arial" w:hAnsi="Arial" w:cs="Arial"/>
                <w:color w:val="000000"/>
                <w:u w:val="single"/>
                <w:lang w:eastAsia="en-US"/>
              </w:rPr>
            </w:pPr>
            <w:r>
              <w:rPr>
                <w:rFonts w:cs="Arial" w:ascii="Arial" w:hAnsi="Arial"/>
                <w:color w:val="000000"/>
                <w:u w:val="single"/>
                <w:lang w:eastAsia="en-US"/>
              </w:rPr>
              <w:t>Cents/kwh</w:t>
            </w:r>
          </w:p>
        </w:tc>
        <w:tc>
          <w:tcPr>
            <w:tcW w:w="881" w:type="dxa"/>
            <w:tcBorders/>
          </w:tcPr>
          <w:p>
            <w:pPr>
              <w:pStyle w:val="Normal"/>
              <w:jc w:val="end"/>
              <w:rPr>
                <w:rFonts w:ascii="Arial" w:hAnsi="Arial" w:cs="Arial"/>
                <w:color w:val="000000"/>
                <w:u w:val="single"/>
                <w:lang w:eastAsia="en-US"/>
              </w:rPr>
            </w:pPr>
            <w:r>
              <w:rPr>
                <w:rFonts w:eastAsia="Arial" w:cs="Arial" w:ascii="Arial" w:hAnsi="Arial"/>
                <w:color w:val="000000"/>
                <w:u w:val="single"/>
                <w:lang w:eastAsia="en-US"/>
              </w:rPr>
              <w:t xml:space="preserve">       </w:t>
            </w:r>
            <w:r>
              <w:rPr>
                <w:rFonts w:cs="Arial" w:ascii="Arial" w:hAnsi="Arial"/>
                <w:color w:val="000000"/>
                <w:u w:val="single"/>
                <w:lang w:eastAsia="en-US"/>
              </w:rPr>
              <w:t xml:space="preserve">5.38 </w:t>
            </w:r>
          </w:p>
        </w:tc>
        <w:tc>
          <w:tcPr>
            <w:tcW w:w="977" w:type="dxa"/>
            <w:tcBorders>
              <w:start w:val="single" w:sz="6" w:space="0" w:color="000000"/>
              <w:end w:val="single" w:sz="6" w:space="0" w:color="000000"/>
            </w:tcBorders>
          </w:tcPr>
          <w:p>
            <w:pPr>
              <w:pStyle w:val="Normal"/>
              <w:jc w:val="end"/>
              <w:rPr>
                <w:rFonts w:ascii="Arial" w:hAnsi="Arial" w:cs="Arial"/>
                <w:color w:val="000000"/>
                <w:u w:val="single"/>
                <w:lang w:eastAsia="en-US"/>
              </w:rPr>
            </w:pPr>
            <w:r>
              <w:rPr>
                <w:rFonts w:eastAsia="Arial" w:cs="Arial" w:ascii="Arial" w:hAnsi="Arial"/>
                <w:color w:val="000000"/>
                <w:u w:val="single"/>
                <w:lang w:eastAsia="en-US"/>
              </w:rPr>
              <w:t xml:space="preserve">         </w:t>
            </w:r>
            <w:r>
              <w:rPr>
                <w:rFonts w:cs="Arial" w:ascii="Arial" w:hAnsi="Arial"/>
                <w:color w:val="000000"/>
                <w:u w:val="single"/>
                <w:lang w:eastAsia="en-US"/>
              </w:rPr>
              <w:t xml:space="preserve">4.24 </w:t>
            </w:r>
          </w:p>
        </w:tc>
        <w:tc>
          <w:tcPr>
            <w:tcW w:w="977" w:type="dxa"/>
            <w:tcBorders/>
          </w:tcPr>
          <w:p>
            <w:pPr>
              <w:pStyle w:val="Normal"/>
              <w:jc w:val="end"/>
              <w:rPr>
                <w:rFonts w:ascii="Arial" w:hAnsi="Arial" w:cs="Arial"/>
                <w:color w:val="000000"/>
                <w:u w:val="single"/>
                <w:lang w:eastAsia="en-US"/>
              </w:rPr>
            </w:pPr>
            <w:r>
              <w:rPr>
                <w:rFonts w:eastAsia="Arial" w:cs="Arial" w:ascii="Arial" w:hAnsi="Arial"/>
                <w:color w:val="000000"/>
                <w:u w:val="single"/>
                <w:lang w:eastAsia="en-US"/>
              </w:rPr>
              <w:t xml:space="preserve">         </w:t>
            </w:r>
            <w:r>
              <w:rPr>
                <w:rFonts w:cs="Arial" w:ascii="Arial" w:hAnsi="Arial"/>
                <w:color w:val="000000"/>
                <w:u w:val="single"/>
                <w:lang w:eastAsia="en-US"/>
              </w:rPr>
              <w:t xml:space="preserve">4.55 </w:t>
            </w:r>
          </w:p>
        </w:tc>
        <w:tc>
          <w:tcPr>
            <w:tcW w:w="976" w:type="dxa"/>
            <w:tcBorders>
              <w:start w:val="single" w:sz="6" w:space="0" w:color="000000"/>
              <w:end w:val="single" w:sz="6" w:space="0" w:color="000000"/>
            </w:tcBorders>
          </w:tcPr>
          <w:p>
            <w:pPr>
              <w:pStyle w:val="Normal"/>
              <w:jc w:val="end"/>
              <w:rPr>
                <w:rFonts w:ascii="Arial" w:hAnsi="Arial" w:cs="Arial"/>
                <w:color w:val="000000"/>
                <w:u w:val="single"/>
                <w:lang w:eastAsia="en-US"/>
              </w:rPr>
            </w:pPr>
            <w:r>
              <w:rPr>
                <w:rFonts w:eastAsia="Arial" w:cs="Arial" w:ascii="Arial" w:hAnsi="Arial"/>
                <w:color w:val="000000"/>
                <w:u w:val="single"/>
                <w:lang w:eastAsia="en-US"/>
              </w:rPr>
              <w:t xml:space="preserve">         </w:t>
            </w:r>
            <w:r>
              <w:rPr>
                <w:rFonts w:cs="Arial" w:ascii="Arial" w:hAnsi="Arial"/>
                <w:color w:val="000000"/>
                <w:u w:val="single"/>
                <w:lang w:eastAsia="en-US"/>
              </w:rPr>
              <w:t xml:space="preserve">4.52 </w:t>
            </w:r>
          </w:p>
        </w:tc>
      </w:tr>
      <w:tr>
        <w:trPr>
          <w:trHeight w:val="214" w:hRule="atLeast"/>
        </w:trPr>
        <w:tc>
          <w:tcPr>
            <w:tcW w:w="2730" w:type="dxa"/>
            <w:tcBorders>
              <w:start w:val="single" w:sz="6" w:space="0" w:color="000000"/>
            </w:tcBorders>
          </w:tcPr>
          <w:p>
            <w:pPr>
              <w:pStyle w:val="Normal"/>
              <w:rPr>
                <w:rFonts w:ascii="Arial" w:hAnsi="Arial" w:cs="Arial"/>
                <w:color w:val="000000"/>
                <w:lang w:eastAsia="en-US"/>
              </w:rPr>
            </w:pPr>
            <w:r>
              <w:rPr>
                <w:rFonts w:cs="Arial" w:ascii="Arial" w:hAnsi="Arial"/>
                <w:color w:val="000000"/>
                <w:lang w:eastAsia="en-US"/>
              </w:rPr>
              <w:t>Total Tariff</w:t>
            </w:r>
          </w:p>
        </w:tc>
        <w:tc>
          <w:tcPr>
            <w:tcW w:w="1081" w:type="dxa"/>
            <w:tcBorders>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Cents/kwh</w:t>
            </w:r>
          </w:p>
        </w:tc>
        <w:tc>
          <w:tcPr>
            <w:tcW w:w="881"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10.15 </w:t>
            </w:r>
          </w:p>
        </w:tc>
        <w:tc>
          <w:tcPr>
            <w:tcW w:w="977" w:type="dxa"/>
            <w:tcBorders>
              <w:start w:val="single" w:sz="6" w:space="0" w:color="000000"/>
              <w:end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8.44 </w:t>
            </w:r>
          </w:p>
        </w:tc>
        <w:tc>
          <w:tcPr>
            <w:tcW w:w="9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8.78 </w:t>
            </w:r>
          </w:p>
        </w:tc>
        <w:tc>
          <w:tcPr>
            <w:tcW w:w="976" w:type="dxa"/>
            <w:tcBorders>
              <w:start w:val="single" w:sz="6" w:space="0" w:color="000000"/>
              <w:end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8.77 </w:t>
            </w:r>
          </w:p>
        </w:tc>
      </w:tr>
      <w:tr>
        <w:trPr>
          <w:trHeight w:val="214" w:hRule="atLeast"/>
        </w:trPr>
        <w:tc>
          <w:tcPr>
            <w:tcW w:w="2730" w:type="dxa"/>
            <w:tcBorders>
              <w:top w:val="single" w:sz="6" w:space="0" w:color="000000"/>
              <w:start w:val="single" w:sz="6" w:space="0" w:color="000000"/>
              <w:bottom w:val="single" w:sz="6" w:space="0" w:color="000000"/>
            </w:tcBorders>
          </w:tcPr>
          <w:p>
            <w:pPr>
              <w:pStyle w:val="Normal"/>
              <w:rPr>
                <w:rFonts w:ascii="Arial" w:hAnsi="Arial" w:cs="Arial"/>
                <w:color w:val="000000"/>
                <w:lang w:eastAsia="en-US"/>
              </w:rPr>
            </w:pPr>
            <w:r>
              <w:rPr>
                <w:rFonts w:cs="Arial" w:ascii="Arial" w:hAnsi="Arial"/>
                <w:color w:val="000000"/>
                <w:lang w:eastAsia="en-US"/>
              </w:rPr>
              <w:t>Less : Cash RoE Per Unit</w:t>
            </w:r>
          </w:p>
        </w:tc>
        <w:tc>
          <w:tcPr>
            <w:tcW w:w="108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Cents/kwh</w:t>
            </w:r>
          </w:p>
        </w:tc>
        <w:tc>
          <w:tcPr>
            <w:tcW w:w="881" w:type="dxa"/>
            <w:tcBorders>
              <w:top w:val="single" w:sz="6" w:space="0" w:color="000000"/>
              <w:bottom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(2.26)</w:t>
            </w:r>
          </w:p>
        </w:tc>
        <w:tc>
          <w:tcPr>
            <w:tcW w:w="9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(2.03)</w:t>
            </w:r>
          </w:p>
        </w:tc>
        <w:tc>
          <w:tcPr>
            <w:tcW w:w="977" w:type="dxa"/>
            <w:tcBorders>
              <w:top w:val="single" w:sz="6" w:space="0" w:color="000000"/>
              <w:bottom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(1.83)</w:t>
            </w:r>
          </w:p>
        </w:tc>
        <w:tc>
          <w:tcPr>
            <w:tcW w:w="97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(1.76)</w:t>
            </w:r>
          </w:p>
        </w:tc>
      </w:tr>
      <w:tr>
        <w:trPr>
          <w:trHeight w:val="214" w:hRule="atLeast"/>
        </w:trPr>
        <w:tc>
          <w:tcPr>
            <w:tcW w:w="2730" w:type="dxa"/>
            <w:tcBorders>
              <w:start w:val="single" w:sz="6" w:space="0" w:color="000000"/>
              <w:bottom w:val="single" w:sz="6" w:space="0" w:color="000000"/>
            </w:tcBorders>
          </w:tcPr>
          <w:p>
            <w:pPr>
              <w:pStyle w:val="Normal"/>
              <w:rPr>
                <w:rFonts w:ascii="Arial" w:hAnsi="Arial" w:cs="Arial"/>
                <w:b/>
                <w:color w:val="000000"/>
                <w:lang w:eastAsia="en-US"/>
              </w:rPr>
            </w:pPr>
            <w:r>
              <w:rPr>
                <w:rFonts w:cs="Arial" w:ascii="Arial" w:hAnsi="Arial"/>
                <w:b/>
                <w:color w:val="000000"/>
                <w:lang w:eastAsia="en-US"/>
              </w:rPr>
              <w:t>DPC's Net Tariff at Bus-Bar</w:t>
            </w:r>
          </w:p>
        </w:tc>
        <w:tc>
          <w:tcPr>
            <w:tcW w:w="108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Cents/kwh</w:t>
            </w:r>
          </w:p>
        </w:tc>
        <w:tc>
          <w:tcPr>
            <w:tcW w:w="881" w:type="dxa"/>
            <w:tcBorders>
              <w:bottom w:val="single" w:sz="6" w:space="0" w:color="000000"/>
            </w:tcBorders>
          </w:tcPr>
          <w:p>
            <w:pPr>
              <w:pStyle w:val="Normal"/>
              <w:jc w:val="end"/>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 xml:space="preserve">7.90 </w:t>
            </w:r>
          </w:p>
        </w:tc>
        <w:tc>
          <w:tcPr>
            <w:tcW w:w="977" w:type="dxa"/>
            <w:tcBorders>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 xml:space="preserve">6.41 </w:t>
            </w:r>
          </w:p>
        </w:tc>
        <w:tc>
          <w:tcPr>
            <w:tcW w:w="977" w:type="dxa"/>
            <w:tcBorders>
              <w:bottom w:val="single" w:sz="6" w:space="0" w:color="000000"/>
            </w:tcBorders>
          </w:tcPr>
          <w:p>
            <w:pPr>
              <w:pStyle w:val="Normal"/>
              <w:jc w:val="end"/>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 xml:space="preserve">6.95 </w:t>
            </w:r>
          </w:p>
        </w:tc>
        <w:tc>
          <w:tcPr>
            <w:tcW w:w="976" w:type="dxa"/>
            <w:tcBorders>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 xml:space="preserve">7.01 </w:t>
            </w:r>
          </w:p>
        </w:tc>
      </w:tr>
    </w:tbl>
    <w:p>
      <w:pPr>
        <w:pStyle w:val="Normal"/>
        <w:rPr>
          <w:b/>
          <w:sz w:val="24"/>
        </w:rPr>
      </w:pPr>
      <w:r>
        <w:rPr>
          <w:b/>
          <w:sz w:val="24"/>
        </w:rPr>
      </w:r>
    </w:p>
    <w:tbl>
      <w:tblPr>
        <w:tblW w:w="7622" w:type="dxa"/>
        <w:jc w:val="start"/>
        <w:tblInd w:w="0" w:type="dxa"/>
        <w:tblLayout w:type="fixed"/>
        <w:tblCellMar>
          <w:top w:w="0" w:type="dxa"/>
          <w:start w:w="30" w:type="dxa"/>
          <w:bottom w:w="0" w:type="dxa"/>
          <w:end w:w="30" w:type="dxa"/>
        </w:tblCellMar>
      </w:tblPr>
      <w:tblGrid>
        <w:gridCol w:w="2730"/>
        <w:gridCol w:w="1081"/>
        <w:gridCol w:w="881"/>
        <w:gridCol w:w="977"/>
        <w:gridCol w:w="977"/>
        <w:gridCol w:w="976"/>
      </w:tblGrid>
      <w:tr>
        <w:trPr>
          <w:trHeight w:val="214" w:hRule="atLeast"/>
        </w:trPr>
        <w:tc>
          <w:tcPr>
            <w:tcW w:w="2730" w:type="dxa"/>
            <w:tcBorders>
              <w:top w:val="single" w:sz="6" w:space="0" w:color="000000"/>
              <w:start w:val="single" w:sz="6" w:space="0" w:color="000000"/>
            </w:tcBorders>
          </w:tcPr>
          <w:p>
            <w:pPr>
              <w:pStyle w:val="Normal"/>
              <w:rPr>
                <w:rFonts w:ascii="Arial" w:hAnsi="Arial" w:cs="Arial"/>
                <w:color w:val="000000"/>
                <w:lang w:eastAsia="en-US"/>
              </w:rPr>
            </w:pPr>
            <w:r>
              <w:rPr>
                <w:rFonts w:cs="Arial" w:ascii="Arial" w:hAnsi="Arial"/>
                <w:color w:val="000000"/>
                <w:lang w:eastAsia="en-US"/>
              </w:rPr>
              <w:t xml:space="preserve">Capacity Charge </w:t>
            </w:r>
            <w:r>
              <w:rPr>
                <w:rFonts w:cs="Arial" w:ascii="Arial" w:hAnsi="Arial"/>
                <w:color w:val="000000"/>
                <w:sz w:val="18"/>
                <w:lang w:eastAsia="en-US"/>
              </w:rPr>
              <w:t>(@ 75% PLF)</w:t>
            </w:r>
          </w:p>
        </w:tc>
        <w:tc>
          <w:tcPr>
            <w:tcW w:w="1081"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Rs/kwh</w:t>
            </w:r>
          </w:p>
        </w:tc>
        <w:tc>
          <w:tcPr>
            <w:tcW w:w="881" w:type="dxa"/>
            <w:tcBorders>
              <w:top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2.36 </w:t>
            </w:r>
          </w:p>
        </w:tc>
        <w:tc>
          <w:tcPr>
            <w:tcW w:w="977"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2.17 </w:t>
            </w:r>
          </w:p>
        </w:tc>
        <w:tc>
          <w:tcPr>
            <w:tcW w:w="977" w:type="dxa"/>
            <w:tcBorders>
              <w:top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2.30 </w:t>
            </w:r>
          </w:p>
        </w:tc>
        <w:tc>
          <w:tcPr>
            <w:tcW w:w="976"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2.43 </w:t>
            </w:r>
          </w:p>
        </w:tc>
      </w:tr>
      <w:tr>
        <w:trPr>
          <w:trHeight w:val="214" w:hRule="atLeast"/>
        </w:trPr>
        <w:tc>
          <w:tcPr>
            <w:tcW w:w="2730" w:type="dxa"/>
            <w:tcBorders>
              <w:start w:val="single" w:sz="6" w:space="0" w:color="000000"/>
            </w:tcBorders>
          </w:tcPr>
          <w:p>
            <w:pPr>
              <w:pStyle w:val="Normal"/>
              <w:rPr/>
            </w:pPr>
            <w:r>
              <w:rPr>
                <w:rFonts w:cs="Arial" w:ascii="Arial" w:hAnsi="Arial"/>
                <w:color w:val="000000"/>
                <w:u w:val="single"/>
                <w:lang w:eastAsia="en-US"/>
              </w:rPr>
              <w:t>Energy Charge (</w:t>
            </w:r>
            <w:r>
              <w:rPr>
                <w:rFonts w:cs="Arial" w:ascii="Arial" w:hAnsi="Arial"/>
                <w:color w:val="000000"/>
                <w:sz w:val="16"/>
                <w:u w:val="single"/>
                <w:lang w:eastAsia="en-US"/>
              </w:rPr>
              <w:t>@</w:t>
            </w:r>
            <w:r>
              <w:rPr>
                <w:rFonts w:cs="Arial" w:ascii="Arial" w:hAnsi="Arial"/>
                <w:color w:val="000000"/>
                <w:u w:val="single"/>
                <w:lang w:eastAsia="en-US"/>
              </w:rPr>
              <w:t xml:space="preserve"> 25$/bbl)</w:t>
            </w:r>
          </w:p>
        </w:tc>
        <w:tc>
          <w:tcPr>
            <w:tcW w:w="1081" w:type="dxa"/>
            <w:tcBorders>
              <w:start w:val="single" w:sz="6" w:space="0" w:color="000000"/>
              <w:end w:val="single" w:sz="6" w:space="0" w:color="000000"/>
            </w:tcBorders>
          </w:tcPr>
          <w:p>
            <w:pPr>
              <w:pStyle w:val="Normal"/>
              <w:jc w:val="center"/>
              <w:rPr>
                <w:rFonts w:ascii="Arial" w:hAnsi="Arial" w:cs="Arial"/>
                <w:color w:val="000000"/>
                <w:u w:val="single"/>
                <w:lang w:eastAsia="en-US"/>
              </w:rPr>
            </w:pPr>
            <w:r>
              <w:rPr>
                <w:rFonts w:cs="Arial" w:ascii="Arial" w:hAnsi="Arial"/>
                <w:color w:val="000000"/>
                <w:u w:val="single"/>
                <w:lang w:eastAsia="en-US"/>
              </w:rPr>
              <w:t>Rs/kwh</w:t>
            </w:r>
          </w:p>
        </w:tc>
        <w:tc>
          <w:tcPr>
            <w:tcW w:w="881" w:type="dxa"/>
            <w:tcBorders/>
          </w:tcPr>
          <w:p>
            <w:pPr>
              <w:pStyle w:val="Normal"/>
              <w:jc w:val="end"/>
              <w:rPr>
                <w:rFonts w:ascii="Arial" w:hAnsi="Arial" w:cs="Arial"/>
                <w:color w:val="000000"/>
                <w:u w:val="single"/>
                <w:lang w:eastAsia="en-US"/>
              </w:rPr>
            </w:pPr>
            <w:r>
              <w:rPr>
                <w:rFonts w:eastAsia="Arial" w:cs="Arial" w:ascii="Arial" w:hAnsi="Arial"/>
                <w:color w:val="000000"/>
                <w:u w:val="single"/>
                <w:lang w:eastAsia="en-US"/>
              </w:rPr>
              <w:t xml:space="preserve">       </w:t>
            </w:r>
            <w:r>
              <w:rPr>
                <w:rFonts w:cs="Arial" w:ascii="Arial" w:hAnsi="Arial"/>
                <w:color w:val="000000"/>
                <w:u w:val="single"/>
                <w:lang w:eastAsia="en-US"/>
              </w:rPr>
              <w:t xml:space="preserve">2.65 </w:t>
            </w:r>
          </w:p>
        </w:tc>
        <w:tc>
          <w:tcPr>
            <w:tcW w:w="977" w:type="dxa"/>
            <w:tcBorders>
              <w:start w:val="single" w:sz="6" w:space="0" w:color="000000"/>
              <w:end w:val="single" w:sz="6" w:space="0" w:color="000000"/>
            </w:tcBorders>
          </w:tcPr>
          <w:p>
            <w:pPr>
              <w:pStyle w:val="Normal"/>
              <w:jc w:val="end"/>
              <w:rPr>
                <w:rFonts w:ascii="Arial" w:hAnsi="Arial" w:cs="Arial"/>
                <w:color w:val="000000"/>
                <w:u w:val="single"/>
                <w:lang w:eastAsia="en-US"/>
              </w:rPr>
            </w:pPr>
            <w:r>
              <w:rPr>
                <w:rFonts w:eastAsia="Arial" w:cs="Arial" w:ascii="Arial" w:hAnsi="Arial"/>
                <w:color w:val="000000"/>
                <w:u w:val="single"/>
                <w:lang w:eastAsia="en-US"/>
              </w:rPr>
              <w:t xml:space="preserve">         </w:t>
            </w:r>
            <w:r>
              <w:rPr>
                <w:rFonts w:cs="Arial" w:ascii="Arial" w:hAnsi="Arial"/>
                <w:color w:val="000000"/>
                <w:u w:val="single"/>
                <w:lang w:eastAsia="en-US"/>
              </w:rPr>
              <w:t xml:space="preserve">2.20 </w:t>
            </w:r>
          </w:p>
        </w:tc>
        <w:tc>
          <w:tcPr>
            <w:tcW w:w="977" w:type="dxa"/>
            <w:tcBorders/>
          </w:tcPr>
          <w:p>
            <w:pPr>
              <w:pStyle w:val="Normal"/>
              <w:jc w:val="end"/>
              <w:rPr>
                <w:rFonts w:ascii="Arial" w:hAnsi="Arial" w:cs="Arial"/>
                <w:color w:val="000000"/>
                <w:u w:val="single"/>
                <w:lang w:eastAsia="en-US"/>
              </w:rPr>
            </w:pPr>
            <w:r>
              <w:rPr>
                <w:rFonts w:eastAsia="Arial" w:cs="Arial" w:ascii="Arial" w:hAnsi="Arial"/>
                <w:color w:val="000000"/>
                <w:u w:val="single"/>
                <w:lang w:eastAsia="en-US"/>
              </w:rPr>
              <w:t xml:space="preserve">         </w:t>
            </w:r>
            <w:r>
              <w:rPr>
                <w:rFonts w:cs="Arial" w:ascii="Arial" w:hAnsi="Arial"/>
                <w:color w:val="000000"/>
                <w:u w:val="single"/>
                <w:lang w:eastAsia="en-US"/>
              </w:rPr>
              <w:t xml:space="preserve">2.48 </w:t>
            </w:r>
          </w:p>
        </w:tc>
        <w:tc>
          <w:tcPr>
            <w:tcW w:w="976" w:type="dxa"/>
            <w:tcBorders>
              <w:start w:val="single" w:sz="6" w:space="0" w:color="000000"/>
              <w:end w:val="single" w:sz="6" w:space="0" w:color="000000"/>
            </w:tcBorders>
          </w:tcPr>
          <w:p>
            <w:pPr>
              <w:pStyle w:val="Normal"/>
              <w:jc w:val="end"/>
              <w:rPr>
                <w:rFonts w:ascii="Arial" w:hAnsi="Arial" w:cs="Arial"/>
                <w:color w:val="000000"/>
                <w:u w:val="single"/>
                <w:lang w:eastAsia="en-US"/>
              </w:rPr>
            </w:pPr>
            <w:r>
              <w:rPr>
                <w:rFonts w:eastAsia="Arial" w:cs="Arial" w:ascii="Arial" w:hAnsi="Arial"/>
                <w:color w:val="000000"/>
                <w:u w:val="single"/>
                <w:lang w:eastAsia="en-US"/>
              </w:rPr>
              <w:t xml:space="preserve">         </w:t>
            </w:r>
            <w:r>
              <w:rPr>
                <w:rFonts w:cs="Arial" w:ascii="Arial" w:hAnsi="Arial"/>
                <w:color w:val="000000"/>
                <w:u w:val="single"/>
                <w:lang w:eastAsia="en-US"/>
              </w:rPr>
              <w:t xml:space="preserve">2.58 </w:t>
            </w:r>
          </w:p>
        </w:tc>
      </w:tr>
      <w:tr>
        <w:trPr>
          <w:trHeight w:val="214" w:hRule="atLeast"/>
        </w:trPr>
        <w:tc>
          <w:tcPr>
            <w:tcW w:w="2730" w:type="dxa"/>
            <w:tcBorders>
              <w:start w:val="single" w:sz="6" w:space="0" w:color="000000"/>
            </w:tcBorders>
          </w:tcPr>
          <w:p>
            <w:pPr>
              <w:pStyle w:val="Normal"/>
              <w:rPr>
                <w:rFonts w:ascii="Arial" w:hAnsi="Arial" w:cs="Arial"/>
                <w:color w:val="000000"/>
                <w:lang w:eastAsia="en-US"/>
              </w:rPr>
            </w:pPr>
            <w:r>
              <w:rPr>
                <w:rFonts w:cs="Arial" w:ascii="Arial" w:hAnsi="Arial"/>
                <w:color w:val="000000"/>
                <w:lang w:eastAsia="en-US"/>
              </w:rPr>
              <w:t>Total Tariff</w:t>
            </w:r>
          </w:p>
        </w:tc>
        <w:tc>
          <w:tcPr>
            <w:tcW w:w="1081" w:type="dxa"/>
            <w:tcBorders>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Rs/kwh</w:t>
            </w:r>
          </w:p>
        </w:tc>
        <w:tc>
          <w:tcPr>
            <w:tcW w:w="881"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5.01 </w:t>
            </w:r>
          </w:p>
        </w:tc>
        <w:tc>
          <w:tcPr>
            <w:tcW w:w="977" w:type="dxa"/>
            <w:tcBorders>
              <w:start w:val="single" w:sz="6" w:space="0" w:color="000000"/>
              <w:end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4.37 </w:t>
            </w:r>
          </w:p>
        </w:tc>
        <w:tc>
          <w:tcPr>
            <w:tcW w:w="977" w:type="dxa"/>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4.77 </w:t>
            </w:r>
          </w:p>
        </w:tc>
        <w:tc>
          <w:tcPr>
            <w:tcW w:w="976" w:type="dxa"/>
            <w:tcBorders>
              <w:start w:val="single" w:sz="6" w:space="0" w:color="000000"/>
              <w:end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5.01 </w:t>
            </w:r>
          </w:p>
        </w:tc>
      </w:tr>
      <w:tr>
        <w:trPr>
          <w:trHeight w:val="214" w:hRule="atLeast"/>
        </w:trPr>
        <w:tc>
          <w:tcPr>
            <w:tcW w:w="2730" w:type="dxa"/>
            <w:tcBorders>
              <w:top w:val="single" w:sz="6" w:space="0" w:color="000000"/>
              <w:start w:val="single" w:sz="6" w:space="0" w:color="000000"/>
              <w:bottom w:val="single" w:sz="6" w:space="0" w:color="000000"/>
            </w:tcBorders>
          </w:tcPr>
          <w:p>
            <w:pPr>
              <w:pStyle w:val="Normal"/>
              <w:rPr>
                <w:rFonts w:ascii="Arial" w:hAnsi="Arial" w:cs="Arial"/>
                <w:b/>
                <w:color w:val="000000"/>
                <w:lang w:eastAsia="en-US"/>
              </w:rPr>
            </w:pPr>
            <w:r>
              <w:rPr>
                <w:rFonts w:cs="Arial" w:ascii="Arial" w:hAnsi="Arial"/>
                <w:b/>
                <w:color w:val="000000"/>
                <w:lang w:eastAsia="en-US"/>
              </w:rPr>
              <w:t>Less : Cash RoE Per Unit</w:t>
            </w:r>
          </w:p>
        </w:tc>
        <w:tc>
          <w:tcPr>
            <w:tcW w:w="108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Rs/kwh</w:t>
            </w:r>
          </w:p>
        </w:tc>
        <w:tc>
          <w:tcPr>
            <w:tcW w:w="881" w:type="dxa"/>
            <w:tcBorders>
              <w:top w:val="single" w:sz="6" w:space="0" w:color="000000"/>
              <w:bottom w:val="single" w:sz="6" w:space="0" w:color="000000"/>
            </w:tcBorders>
          </w:tcPr>
          <w:p>
            <w:pPr>
              <w:pStyle w:val="Normal"/>
              <w:jc w:val="end"/>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(1.11)</w:t>
            </w:r>
          </w:p>
        </w:tc>
        <w:tc>
          <w:tcPr>
            <w:tcW w:w="9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(1.05)</w:t>
            </w:r>
          </w:p>
        </w:tc>
        <w:tc>
          <w:tcPr>
            <w:tcW w:w="977" w:type="dxa"/>
            <w:tcBorders>
              <w:top w:val="single" w:sz="6" w:space="0" w:color="000000"/>
              <w:bottom w:val="single" w:sz="6" w:space="0" w:color="000000"/>
            </w:tcBorders>
          </w:tcPr>
          <w:p>
            <w:pPr>
              <w:pStyle w:val="Normal"/>
              <w:jc w:val="end"/>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(1.00)</w:t>
            </w:r>
          </w:p>
        </w:tc>
        <w:tc>
          <w:tcPr>
            <w:tcW w:w="97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(1.00)</w:t>
            </w:r>
          </w:p>
        </w:tc>
      </w:tr>
      <w:tr>
        <w:trPr>
          <w:trHeight w:val="214" w:hRule="atLeast"/>
        </w:trPr>
        <w:tc>
          <w:tcPr>
            <w:tcW w:w="2730" w:type="dxa"/>
            <w:tcBorders>
              <w:start w:val="single" w:sz="6" w:space="0" w:color="000000"/>
              <w:bottom w:val="single" w:sz="6" w:space="0" w:color="000000"/>
            </w:tcBorders>
          </w:tcPr>
          <w:p>
            <w:pPr>
              <w:pStyle w:val="Normal"/>
              <w:rPr>
                <w:rFonts w:ascii="Arial" w:hAnsi="Arial" w:cs="Arial"/>
                <w:b/>
                <w:color w:val="000000"/>
                <w:lang w:eastAsia="en-US"/>
              </w:rPr>
            </w:pPr>
            <w:r>
              <w:rPr>
                <w:rFonts w:cs="Arial" w:ascii="Arial" w:hAnsi="Arial"/>
                <w:b/>
                <w:color w:val="000000"/>
                <w:lang w:eastAsia="en-US"/>
              </w:rPr>
              <w:t>DPC's Net Tariff at Bus-Bar</w:t>
            </w:r>
          </w:p>
        </w:tc>
        <w:tc>
          <w:tcPr>
            <w:tcW w:w="108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Rs/kwh</w:t>
            </w:r>
          </w:p>
        </w:tc>
        <w:tc>
          <w:tcPr>
            <w:tcW w:w="881" w:type="dxa"/>
            <w:tcBorders>
              <w:bottom w:val="single" w:sz="6" w:space="0" w:color="000000"/>
            </w:tcBorders>
          </w:tcPr>
          <w:p>
            <w:pPr>
              <w:pStyle w:val="Normal"/>
              <w:jc w:val="end"/>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 xml:space="preserve">3.90 </w:t>
            </w:r>
          </w:p>
        </w:tc>
        <w:tc>
          <w:tcPr>
            <w:tcW w:w="977" w:type="dxa"/>
            <w:tcBorders>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 xml:space="preserve">3.32 </w:t>
            </w:r>
          </w:p>
        </w:tc>
        <w:tc>
          <w:tcPr>
            <w:tcW w:w="977" w:type="dxa"/>
            <w:tcBorders>
              <w:bottom w:val="single" w:sz="6" w:space="0" w:color="000000"/>
            </w:tcBorders>
          </w:tcPr>
          <w:p>
            <w:pPr>
              <w:pStyle w:val="Normal"/>
              <w:jc w:val="end"/>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 xml:space="preserve">3.78 </w:t>
            </w:r>
          </w:p>
        </w:tc>
        <w:tc>
          <w:tcPr>
            <w:tcW w:w="976" w:type="dxa"/>
            <w:tcBorders>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 xml:space="preserve">4.01 </w:t>
            </w:r>
          </w:p>
        </w:tc>
      </w:tr>
      <w:tr>
        <w:trPr>
          <w:trHeight w:val="214" w:hRule="atLeast"/>
        </w:trPr>
        <w:tc>
          <w:tcPr>
            <w:tcW w:w="2730" w:type="dxa"/>
            <w:tcBorders>
              <w:top w:val="single" w:sz="6" w:space="0" w:color="000000"/>
              <w:start w:val="single" w:sz="6" w:space="0" w:color="000000"/>
              <w:bottom w:val="single" w:sz="6" w:space="0" w:color="000000"/>
            </w:tcBorders>
          </w:tcPr>
          <w:p>
            <w:pPr>
              <w:pStyle w:val="Normal"/>
              <w:rPr>
                <w:rFonts w:ascii="Arial" w:hAnsi="Arial" w:cs="Arial"/>
                <w:color w:val="000000"/>
                <w:lang w:eastAsia="en-US"/>
              </w:rPr>
            </w:pPr>
            <w:r>
              <w:rPr>
                <w:rFonts w:cs="Arial" w:ascii="Arial" w:hAnsi="Arial"/>
                <w:color w:val="000000"/>
                <w:lang w:eastAsia="en-US"/>
              </w:rPr>
              <w:t>Average T&amp;D Losses</w:t>
            </w:r>
          </w:p>
        </w:tc>
        <w:tc>
          <w:tcPr>
            <w:tcW w:w="108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881"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w:t>
            </w:r>
          </w:p>
        </w:tc>
        <w:tc>
          <w:tcPr>
            <w:tcW w:w="9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w:t>
            </w:r>
          </w:p>
        </w:tc>
        <w:tc>
          <w:tcPr>
            <w:tcW w:w="977" w:type="dxa"/>
            <w:tcBorders>
              <w:top w:val="single" w:sz="6" w:space="0" w:color="000000"/>
              <w:bottom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w:t>
            </w:r>
          </w:p>
        </w:tc>
        <w:tc>
          <w:tcPr>
            <w:tcW w:w="97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w:t>
            </w:r>
          </w:p>
        </w:tc>
      </w:tr>
      <w:tr>
        <w:trPr>
          <w:trHeight w:val="214" w:hRule="atLeast"/>
        </w:trPr>
        <w:tc>
          <w:tcPr>
            <w:tcW w:w="2730" w:type="dxa"/>
            <w:tcBorders>
              <w:start w:val="single" w:sz="6" w:space="0" w:color="000000"/>
              <w:bottom w:val="single" w:sz="6" w:space="0" w:color="000000"/>
            </w:tcBorders>
          </w:tcPr>
          <w:p>
            <w:pPr>
              <w:pStyle w:val="Normal"/>
              <w:rPr>
                <w:rFonts w:ascii="Arial" w:hAnsi="Arial" w:cs="Arial"/>
                <w:b/>
                <w:color w:val="000000"/>
                <w:lang w:eastAsia="en-US"/>
              </w:rPr>
            </w:pPr>
            <w:r>
              <w:rPr>
                <w:rFonts w:cs="Arial" w:ascii="Arial" w:hAnsi="Arial"/>
                <w:b/>
                <w:color w:val="000000"/>
                <w:lang w:eastAsia="en-US"/>
              </w:rPr>
              <w:t>DPC's Net Tariff at Consumer End</w:t>
            </w:r>
          </w:p>
        </w:tc>
        <w:tc>
          <w:tcPr>
            <w:tcW w:w="108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Rs/kwh</w:t>
            </w:r>
          </w:p>
        </w:tc>
        <w:tc>
          <w:tcPr>
            <w:tcW w:w="881" w:type="dxa"/>
            <w:tcBorders>
              <w:bottom w:val="single" w:sz="6" w:space="0" w:color="000000"/>
            </w:tcBorders>
          </w:tcPr>
          <w:p>
            <w:pPr>
              <w:pStyle w:val="Normal"/>
              <w:jc w:val="end"/>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 xml:space="preserve">5.57 </w:t>
            </w:r>
          </w:p>
        </w:tc>
        <w:tc>
          <w:tcPr>
            <w:tcW w:w="977" w:type="dxa"/>
            <w:tcBorders>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 xml:space="preserve">4.74 </w:t>
            </w:r>
          </w:p>
        </w:tc>
        <w:tc>
          <w:tcPr>
            <w:tcW w:w="977" w:type="dxa"/>
            <w:tcBorders>
              <w:bottom w:val="single" w:sz="6" w:space="0" w:color="000000"/>
            </w:tcBorders>
          </w:tcPr>
          <w:p>
            <w:pPr>
              <w:pStyle w:val="Normal"/>
              <w:jc w:val="end"/>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 xml:space="preserve">5.40 </w:t>
            </w:r>
          </w:p>
        </w:tc>
        <w:tc>
          <w:tcPr>
            <w:tcW w:w="976" w:type="dxa"/>
            <w:tcBorders>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 xml:space="preserve">5.72 </w:t>
            </w:r>
          </w:p>
        </w:tc>
      </w:tr>
    </w:tbl>
    <w:p>
      <w:pPr>
        <w:pStyle w:val="Normal"/>
        <w:rPr>
          <w:b/>
          <w:sz w:val="24"/>
        </w:rPr>
      </w:pPr>
      <w:r>
        <w:rPr>
          <w:b/>
          <w:sz w:val="24"/>
        </w:rPr>
      </w:r>
    </w:p>
    <w:tbl>
      <w:tblPr>
        <w:tblW w:w="7622" w:type="dxa"/>
        <w:jc w:val="start"/>
        <w:tblInd w:w="0" w:type="dxa"/>
        <w:tblLayout w:type="fixed"/>
        <w:tblCellMar>
          <w:top w:w="0" w:type="dxa"/>
          <w:start w:w="30" w:type="dxa"/>
          <w:bottom w:w="0" w:type="dxa"/>
          <w:end w:w="30" w:type="dxa"/>
        </w:tblCellMar>
      </w:tblPr>
      <w:tblGrid>
        <w:gridCol w:w="2730"/>
        <w:gridCol w:w="1081"/>
        <w:gridCol w:w="881"/>
        <w:gridCol w:w="977"/>
        <w:gridCol w:w="977"/>
        <w:gridCol w:w="976"/>
      </w:tblGrid>
      <w:tr>
        <w:trPr>
          <w:trHeight w:val="214" w:hRule="atLeast"/>
        </w:trPr>
        <w:tc>
          <w:tcPr>
            <w:tcW w:w="2730" w:type="dxa"/>
            <w:tcBorders>
              <w:top w:val="single" w:sz="6" w:space="0" w:color="000000"/>
              <w:start w:val="single" w:sz="6" w:space="0" w:color="000000"/>
            </w:tcBorders>
          </w:tcPr>
          <w:p>
            <w:pPr>
              <w:pStyle w:val="Normal"/>
              <w:rPr>
                <w:rFonts w:ascii="Arial" w:hAnsi="Arial" w:cs="Arial"/>
                <w:color w:val="000000"/>
                <w:lang w:eastAsia="en-US"/>
              </w:rPr>
            </w:pPr>
            <w:r>
              <w:rPr>
                <w:rFonts w:cs="Arial" w:ascii="Arial" w:hAnsi="Arial"/>
                <w:color w:val="000000"/>
                <w:lang w:eastAsia="en-US"/>
              </w:rPr>
              <w:t>MSEB's Average Realization</w:t>
            </w:r>
          </w:p>
        </w:tc>
        <w:tc>
          <w:tcPr>
            <w:tcW w:w="1081"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Rs/kwh</w:t>
            </w:r>
          </w:p>
        </w:tc>
        <w:tc>
          <w:tcPr>
            <w:tcW w:w="881" w:type="dxa"/>
            <w:tcBorders>
              <w:top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2.85 </w:t>
            </w:r>
          </w:p>
        </w:tc>
        <w:tc>
          <w:tcPr>
            <w:tcW w:w="977"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2.93 </w:t>
            </w:r>
          </w:p>
        </w:tc>
        <w:tc>
          <w:tcPr>
            <w:tcW w:w="977" w:type="dxa"/>
            <w:tcBorders>
              <w:top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3.05 </w:t>
            </w:r>
          </w:p>
        </w:tc>
        <w:tc>
          <w:tcPr>
            <w:tcW w:w="976"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3.17 </w:t>
            </w:r>
          </w:p>
        </w:tc>
      </w:tr>
      <w:tr>
        <w:trPr>
          <w:trHeight w:val="214" w:hRule="atLeast"/>
        </w:trPr>
        <w:tc>
          <w:tcPr>
            <w:tcW w:w="2730" w:type="dxa"/>
            <w:tcBorders>
              <w:start w:val="single" w:sz="6" w:space="0" w:color="000000"/>
              <w:bottom w:val="single" w:sz="6" w:space="0" w:color="000000"/>
            </w:tcBorders>
          </w:tcPr>
          <w:p>
            <w:pPr>
              <w:pStyle w:val="Normal"/>
              <w:rPr>
                <w:rFonts w:ascii="Arial" w:hAnsi="Arial" w:cs="Arial"/>
                <w:color w:val="000000"/>
                <w:lang w:eastAsia="en-US"/>
              </w:rPr>
            </w:pPr>
            <w:r>
              <w:rPr>
                <w:rFonts w:cs="Arial" w:ascii="Arial" w:hAnsi="Arial"/>
                <w:color w:val="000000"/>
                <w:lang w:eastAsia="en-US"/>
              </w:rPr>
              <w:t>MSEB's Average Cash Realization*</w:t>
            </w:r>
          </w:p>
        </w:tc>
        <w:tc>
          <w:tcPr>
            <w:tcW w:w="1081"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Rs/kwh</w:t>
            </w:r>
          </w:p>
        </w:tc>
        <w:tc>
          <w:tcPr>
            <w:tcW w:w="881" w:type="dxa"/>
            <w:tcBorders>
              <w:bottom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2.57 </w:t>
            </w:r>
          </w:p>
        </w:tc>
        <w:tc>
          <w:tcPr>
            <w:tcW w:w="977" w:type="dxa"/>
            <w:tcBorders>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2.64 </w:t>
            </w:r>
          </w:p>
        </w:tc>
        <w:tc>
          <w:tcPr>
            <w:tcW w:w="977" w:type="dxa"/>
            <w:tcBorders>
              <w:bottom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2.75 </w:t>
            </w:r>
          </w:p>
        </w:tc>
        <w:tc>
          <w:tcPr>
            <w:tcW w:w="976" w:type="dxa"/>
            <w:tcBorders>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2.85 </w:t>
            </w:r>
          </w:p>
        </w:tc>
      </w:tr>
      <w:tr>
        <w:trPr>
          <w:trHeight w:val="214" w:hRule="atLeast"/>
        </w:trPr>
        <w:tc>
          <w:tcPr>
            <w:tcW w:w="2730" w:type="dxa"/>
            <w:tcBorders>
              <w:start w:val="single" w:sz="6" w:space="0" w:color="000000"/>
              <w:bottom w:val="single" w:sz="6" w:space="0" w:color="000000"/>
            </w:tcBorders>
          </w:tcPr>
          <w:p>
            <w:pPr>
              <w:pStyle w:val="Normal"/>
              <w:rPr>
                <w:rFonts w:ascii="Arial" w:hAnsi="Arial" w:cs="Arial"/>
                <w:b/>
                <w:color w:val="000000"/>
                <w:lang w:eastAsia="en-US"/>
              </w:rPr>
            </w:pPr>
            <w:r>
              <w:rPr>
                <w:rFonts w:cs="Arial" w:ascii="Arial" w:hAnsi="Arial"/>
                <w:b/>
                <w:color w:val="000000"/>
                <w:lang w:eastAsia="en-US"/>
              </w:rPr>
              <w:t>Gap in Unit Tariff (Cash Basis)#</w:t>
            </w:r>
          </w:p>
        </w:tc>
        <w:tc>
          <w:tcPr>
            <w:tcW w:w="108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Rs/kwh</w:t>
            </w:r>
          </w:p>
        </w:tc>
        <w:tc>
          <w:tcPr>
            <w:tcW w:w="881" w:type="dxa"/>
            <w:tcBorders>
              <w:bottom w:val="single" w:sz="6" w:space="0" w:color="000000"/>
            </w:tcBorders>
          </w:tcPr>
          <w:p>
            <w:pPr>
              <w:pStyle w:val="Normal"/>
              <w:jc w:val="end"/>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(3.00)</w:t>
            </w:r>
          </w:p>
        </w:tc>
        <w:tc>
          <w:tcPr>
            <w:tcW w:w="977" w:type="dxa"/>
            <w:tcBorders>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(2.11)</w:t>
            </w:r>
          </w:p>
        </w:tc>
        <w:tc>
          <w:tcPr>
            <w:tcW w:w="977" w:type="dxa"/>
            <w:tcBorders>
              <w:bottom w:val="single" w:sz="6" w:space="0" w:color="000000"/>
            </w:tcBorders>
          </w:tcPr>
          <w:p>
            <w:pPr>
              <w:pStyle w:val="Normal"/>
              <w:jc w:val="end"/>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(2.65)</w:t>
            </w:r>
          </w:p>
        </w:tc>
        <w:tc>
          <w:tcPr>
            <w:tcW w:w="976" w:type="dxa"/>
            <w:tcBorders>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eastAsia="Arial" w:cs="Arial" w:ascii="Arial" w:hAnsi="Arial"/>
                <w:b/>
                <w:color w:val="000000"/>
                <w:lang w:eastAsia="en-US"/>
              </w:rPr>
              <w:t xml:space="preserve">       </w:t>
            </w:r>
            <w:r>
              <w:rPr>
                <w:rFonts w:cs="Arial" w:ascii="Arial" w:hAnsi="Arial"/>
                <w:b/>
                <w:color w:val="000000"/>
                <w:lang w:eastAsia="en-US"/>
              </w:rPr>
              <w:t>(2.87)</w:t>
            </w:r>
          </w:p>
        </w:tc>
      </w:tr>
    </w:tbl>
    <w:p>
      <w:pPr>
        <w:pStyle w:val="Normal"/>
        <w:rPr>
          <w:b/>
          <w:sz w:val="24"/>
        </w:rPr>
      </w:pPr>
      <w:r>
        <w:rPr>
          <w:b/>
          <w:sz w:val="24"/>
        </w:rPr>
      </w:r>
    </w:p>
    <w:p>
      <w:pPr>
        <w:pStyle w:val="Normal"/>
        <w:rPr>
          <w:color w:val="000000"/>
          <w:sz w:val="24"/>
          <w:lang w:eastAsia="en-US"/>
        </w:rPr>
      </w:pPr>
      <w:r>
        <w:rPr>
          <w:color w:val="000000"/>
          <w:sz w:val="24"/>
          <w:lang w:eastAsia="en-US"/>
        </w:rPr>
        <w:t>The above analysis assumes the following:</w:t>
      </w:r>
    </w:p>
    <w:p>
      <w:pPr>
        <w:pStyle w:val="Normal"/>
        <w:numPr>
          <w:ilvl w:val="0"/>
          <w:numId w:val="4"/>
        </w:numPr>
        <w:rPr>
          <w:color w:val="000000"/>
          <w:sz w:val="24"/>
          <w:lang w:eastAsia="en-US"/>
        </w:rPr>
      </w:pPr>
      <w:r>
        <w:rPr>
          <w:color w:val="000000"/>
          <w:sz w:val="24"/>
          <w:lang w:eastAsia="en-US"/>
        </w:rPr>
        <w:t xml:space="preserve">With the commissioning of Phase II and the LNG terminal, LNG T-O-P would be applicable which is equivalent to 75% PLF </w:t>
      </w:r>
    </w:p>
    <w:p>
      <w:pPr>
        <w:pStyle w:val="BodyText"/>
        <w:numPr>
          <w:ilvl w:val="0"/>
          <w:numId w:val="4"/>
        </w:numPr>
        <w:jc w:val="both"/>
        <w:rPr/>
      </w:pPr>
      <w:r>
        <w:rPr/>
        <w:t>With regard to MSEB system, an average T&amp;D loss of 30% and collection efficiency at 90% have been assumed.</w:t>
      </w:r>
    </w:p>
    <w:p>
      <w:pPr>
        <w:pStyle w:val="BodyText"/>
        <w:numPr>
          <w:ilvl w:val="0"/>
          <w:numId w:val="2"/>
        </w:numPr>
        <w:jc w:val="both"/>
        <w:rPr/>
      </w:pPr>
      <w:r>
        <w:rPr/>
        <w:t xml:space="preserve">The breakeven tariff for DPC, over the period under consideration, has been computed by netting off the cash Return on Equity (RoE) component. </w:t>
      </w:r>
    </w:p>
    <w:p>
      <w:pPr>
        <w:pStyle w:val="BodyText"/>
        <w:jc w:val="both"/>
        <w:rPr/>
      </w:pPr>
      <w:r>
        <w:rPr/>
      </w:r>
    </w:p>
    <w:p>
      <w:pPr>
        <w:pStyle w:val="BodyText"/>
        <w:jc w:val="both"/>
        <w:rPr>
          <w:b/>
        </w:rPr>
      </w:pPr>
      <w:r>
        <w:rPr>
          <w:b/>
        </w:rPr>
        <w:t>Conclusion:</w:t>
      </w:r>
    </w:p>
    <w:p>
      <w:pPr>
        <w:pStyle w:val="BodyText"/>
        <w:numPr>
          <w:ilvl w:val="0"/>
          <w:numId w:val="4"/>
        </w:numPr>
        <w:jc w:val="both"/>
        <w:rPr/>
      </w:pPr>
      <w:r>
        <w:rPr/>
        <w:t>Assuming a Merit order dispatch model, DPC should be dispatched upto 75% PLF, since it's variable cost would be minimal upto this level owing to T-O-P considerations. However, beyond this PLF level, DPC is unlikley to be dispatched during this period.</w:t>
      </w:r>
    </w:p>
    <w:p>
      <w:pPr>
        <w:pStyle w:val="Normal"/>
        <w:jc w:val="end"/>
        <w:rPr>
          <w:color w:val="000000"/>
          <w:sz w:val="24"/>
          <w:lang w:eastAsia="en-US"/>
        </w:rPr>
      </w:pPr>
      <w:r>
        <w:rPr>
          <w:color w:val="000000"/>
          <w:sz w:val="24"/>
          <w:lang w:eastAsia="en-US"/>
        </w:rPr>
      </w:r>
    </w:p>
    <w:p>
      <w:pPr>
        <w:pStyle w:val="Normal"/>
        <w:numPr>
          <w:ilvl w:val="0"/>
          <w:numId w:val="5"/>
        </w:numPr>
        <w:rPr>
          <w:color w:val="000000"/>
          <w:sz w:val="24"/>
          <w:lang w:eastAsia="en-US"/>
        </w:rPr>
      </w:pPr>
      <w:r>
        <w:rPr>
          <w:color w:val="000000"/>
          <w:sz w:val="24"/>
          <w:lang w:eastAsia="en-US"/>
        </w:rPr>
        <w:t xml:space="preserve">It is evident from the table above that DPC's tariff at the busbar (net of Cash RoE) is significantly higher than MSEB's projected average realisation. This gap widens even more when we consider the impact of T&amp;D losses and MSEB's collection efficiency. </w:t>
      </w:r>
    </w:p>
    <w:p>
      <w:pPr>
        <w:pStyle w:val="Normal"/>
        <w:jc w:val="end"/>
        <w:rPr>
          <w:color w:val="000000"/>
          <w:sz w:val="24"/>
          <w:lang w:eastAsia="en-US"/>
        </w:rPr>
      </w:pPr>
      <w:r>
        <w:rPr>
          <w:color w:val="000000"/>
          <w:sz w:val="24"/>
          <w:lang w:eastAsia="en-US"/>
        </w:rPr>
      </w:r>
    </w:p>
    <w:p>
      <w:pPr>
        <w:pStyle w:val="Normal"/>
        <w:numPr>
          <w:ilvl w:val="0"/>
          <w:numId w:val="3"/>
        </w:numPr>
        <w:rPr>
          <w:b/>
          <w:sz w:val="24"/>
        </w:rPr>
      </w:pPr>
      <w:r>
        <w:rPr>
          <w:i/>
          <w:color w:val="000000"/>
          <w:sz w:val="24"/>
          <w:lang w:eastAsia="en-US"/>
        </w:rPr>
        <w:t xml:space="preserve">In summary, to keep MSEB whole, measures over and above deferral of cash RoE need to be undertaken, which could include reschedulement of debt, third party sale of LNG, third party sale of power, etc.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2000-12-20T12:05:00Z</dcterms:created>
  <dc:creator>Enron User</dc:creator>
  <dc:description/>
  <dc:language>en-CA</dc:language>
  <cp:lastModifiedBy>Enron User</cp:lastModifiedBy>
  <cp:lastPrinted>2000-12-20T21:01:00Z</cp:lastPrinted>
  <dcterms:modified xsi:type="dcterms:W3CDTF">2000-12-20T13:02:00Z</dcterms:modified>
  <cp:revision>2</cp:revision>
  <dc:subject/>
  <dc:title>Analysis of DPC's Break-Even Tariff Versus </dc:title>
</cp:coreProperties>
</file>