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pPr>
            <w:r>
              <w:rPr/>
              <w:fldChar w:fldCharType="begin"/>
            </w:r>
            <w:r>
              <w:rPr/>
              <w:instrText xml:space="preserve"> MERGEFIELD EnronLogoAddr1 </w:instrText>
            </w:r>
            <w:r>
              <w:rPr/>
              <w:fldChar w:fldCharType="separate"/>
            </w:r>
            <w:r>
              <w:rPr/>
              <w:t>P.O. Box 4428</w:t>
            </w:r>
            <w:r>
              <w:rPr/>
              <w:fldChar w:fldCharType="end"/>
            </w:r>
          </w:p>
          <w:p>
            <w:pPr>
              <w:pStyle w:val="Normal"/>
              <w:tabs>
                <w:tab w:val="clear" w:pos="720"/>
                <w:tab w:val="left" w:pos="2412" w:leader="none"/>
              </w:tabs>
              <w:ind w:start="1962" w:end="0"/>
              <w:rPr/>
            </w:pPr>
            <w:r>
              <w:rPr/>
              <w:fldChar w:fldCharType="begin"/>
            </w:r>
            <w:r>
              <w:rPr/>
              <w:instrText xml:space="preserve"> MERGEFIELD EnronLogoAddr2 </w:instrText>
            </w:r>
            <w:r>
              <w:rPr/>
              <w:fldChar w:fldCharType="separate"/>
            </w:r>
            <w:r>
              <w:rPr/>
              <w:t>Houston TX 77210-4428</w:t>
            </w:r>
            <w:r>
              <w:rPr/>
              <w:fldChar w:fldCharType="end"/>
            </w:r>
          </w:p>
          <w:p>
            <w:pPr>
              <w:pStyle w:val="Normal"/>
              <w:tabs>
                <w:tab w:val="clear" w:pos="720"/>
                <w:tab w:val="left" w:pos="2412" w:leader="none"/>
              </w:tabs>
              <w:ind w:start="1962" w:end="0"/>
              <w:rPr/>
            </w:pPr>
            <w:r>
              <w:rPr/>
              <w:fldChar w:fldCharType="begin"/>
            </w:r>
            <w:r>
              <w:rPr/>
              <w:instrText xml:space="preserve"> MERGEFIELD EnronLogoAddr3 </w:instrText>
            </w:r>
            <w:r>
              <w:rPr/>
              <w:fldChar w:fldCharType="separate"/>
            </w:r>
            <w:r>
              <w:rPr/>
              <w:t>(713) 853-3300</w:t>
            </w:r>
            <w:r>
              <w:rPr/>
              <w:fldChar w:fldCharType="end"/>
            </w:r>
          </w:p>
          <w:p>
            <w:pPr>
              <w:pStyle w:val="Normal"/>
              <w:tabs>
                <w:tab w:val="clear" w:pos="720"/>
                <w:tab w:val="left" w:pos="2412" w:leader="none"/>
              </w:tabs>
              <w:ind w:start="1962" w:end="0"/>
              <w:rPr/>
            </w:pPr>
            <w:r>
              <w:rPr/>
              <w:fldChar w:fldCharType="begin"/>
            </w:r>
            <w:r>
              <w:rPr/>
              <w:instrText xml:space="preserve"> MERGEFIELD EnronLogoTelephone </w:instrText>
            </w:r>
            <w:r>
              <w:rPr/>
              <w:fldChar w:fldCharType="separate"/>
            </w:r>
            <w:r>
              <w:rPr/>
              <w:t>Fax (713) 646-4816</w:t>
            </w:r>
            <w:r>
              <w:rPr/>
              <w:fldChar w:fldCharType="end"/>
            </w:r>
          </w:p>
          <w:p>
            <w:pPr>
              <w:pStyle w:val="Normal"/>
              <w:tabs>
                <w:tab w:val="clear" w:pos="720"/>
                <w:tab w:val="left" w:pos="2412" w:leader="none"/>
              </w:tabs>
              <w:ind w:start="1962" w:end="0"/>
              <w:rPr/>
            </w:pPr>
            <w:r>
              <w:rPr/>
              <w:fldChar w:fldCharType="begin"/>
            </w:r>
            <w:r>
              <w:rPr/>
              <w:instrText xml:space="preserve"> MERGEFIELD EnronLogoFax </w:instrText>
            </w:r>
            <w:r>
              <w:rPr/>
              <w:fldChar w:fldCharType="separate"/>
            </w:r>
            <w:r>
              <w:rPr/>
              <w:t xml:space="preserve"> </w:t>
            </w:r>
            <w:r>
              <w:rPr/>
              <w:fldChar w:fldCharType="end"/>
            </w:r>
          </w:p>
        </w:tc>
      </w:tr>
    </w:tbl>
    <w:p>
      <w:pPr>
        <w:pStyle w:val="Normal"/>
        <w:rPr>
          <w:sz w:val="22"/>
        </w:rPr>
      </w:pPr>
      <w:r>
        <w:rPr>
          <w:sz w:val="22"/>
        </w:rPr>
        <w:tab/>
        <w:tab/>
        <w:tab/>
        <w:tab/>
        <w:tab/>
      </w:r>
    </w:p>
    <w:p>
      <w:pPr>
        <w:pStyle w:val="Normal"/>
        <w:jc w:val="center"/>
        <w:rPr>
          <w:b/>
          <w:sz w:val="22"/>
          <w:u w:val="single"/>
        </w:rPr>
      </w:pPr>
      <w:r>
        <w:rPr>
          <w:b/>
          <w:sz w:val="22"/>
          <w:u w:val="single"/>
        </w:rPr>
        <w:t>CONFIRMATION</w:t>
      </w:r>
    </w:p>
    <w:p>
      <w:pPr>
        <w:pStyle w:val="Normal"/>
        <w:jc w:val="center"/>
        <w:rPr>
          <w:sz w:val="22"/>
        </w:rPr>
      </w:pPr>
      <w:r>
        <w:rPr>
          <w:sz w:val="22"/>
        </w:rPr>
        <w:fldChar w:fldCharType="begin"/>
      </w:r>
      <w:r>
        <w:rPr>
          <w:sz w:val="22"/>
        </w:rPr>
        <w:instrText xml:space="preserve"> MERGEFIELD ISDAOptCapFloor </w:instrText>
      </w:r>
      <w:r>
        <w:rPr>
          <w:sz w:val="22"/>
        </w:rPr>
        <w:fldChar w:fldCharType="separate"/>
      </w:r>
      <w:r>
        <w:rPr>
          <w:sz w:val="22"/>
        </w:rPr>
        <w:t>Cap</w:t>
      </w:r>
      <w:r>
        <w:rPr>
          <w:sz w:val="22"/>
        </w:rPr>
        <w:fldChar w:fldCharType="end"/>
      </w:r>
    </w:p>
    <w:p>
      <w:pPr>
        <w:pStyle w:val="Normal"/>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June 14, 2000</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Anadarko Petroleum Corporation</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(281) 539-4278</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pPr>
      <w:r>
        <w:rPr>
          <w:sz w:val="22"/>
        </w:rPr>
        <w:t>Re:</w:t>
        <w:tab/>
        <w:tab/>
      </w:r>
      <w:r>
        <w:rPr>
          <w:sz w:val="22"/>
        </w:rPr>
        <w:fldChar w:fldCharType="begin"/>
      </w:r>
      <w:r>
        <w:rPr>
          <w:sz w:val="22"/>
        </w:rPr>
        <w:instrText xml:space="preserve"> MERGEFIELD ISDAOptCapFloor </w:instrText>
      </w:r>
      <w:r>
        <w:rPr>
          <w:sz w:val="22"/>
        </w:rPr>
        <w:fldChar w:fldCharType="separate"/>
      </w:r>
      <w:r>
        <w:rPr>
          <w:sz w:val="22"/>
        </w:rPr>
        <w:t>Cap</w:t>
      </w:r>
      <w:r>
        <w:rPr>
          <w:sz w:val="22"/>
        </w:rPr>
        <w:fldChar w:fldCharType="end"/>
      </w:r>
      <w:r>
        <w:rPr>
          <w:sz w:val="22"/>
        </w:rPr>
        <w:t xml:space="preserve"> Option</w:t>
      </w:r>
    </w:p>
    <w:p>
      <w:pPr>
        <w:pStyle w:val="Normal"/>
        <w:rPr>
          <w:sz w:val="22"/>
        </w:rPr>
      </w:pPr>
      <w:r>
        <w:rPr>
          <w:sz w:val="22"/>
        </w:rPr>
        <w:t xml:space="preserve">Contract No.: </w:t>
        <w:tab/>
      </w:r>
      <w:r>
        <w:rPr>
          <w:sz w:val="22"/>
        </w:rPr>
        <w:fldChar w:fldCharType="begin"/>
      </w:r>
      <w:r>
        <w:rPr>
          <w:sz w:val="22"/>
        </w:rPr>
        <w:instrText xml:space="preserve"> MERGEFIELD DealNumber </w:instrText>
      </w:r>
      <w:r>
        <w:rPr>
          <w:sz w:val="22"/>
        </w:rPr>
        <w:fldChar w:fldCharType="separate"/>
      </w:r>
      <w:r>
        <w:rPr>
          <w:sz w:val="22"/>
        </w:rPr>
        <w:t>NN0294.1</w:t>
      </w:r>
      <w:r>
        <w:rPr>
          <w:sz w:val="22"/>
        </w:rPr>
        <w:fldChar w:fldCharType="end"/>
      </w:r>
    </w:p>
    <w:p>
      <w:pPr>
        <w:pStyle w:val="Normal"/>
        <w:rPr>
          <w:sz w:val="22"/>
        </w:rPr>
      </w:pPr>
      <w:r>
        <w:rPr>
          <w:sz w:val="22"/>
        </w:rPr>
      </w:r>
    </w:p>
    <w:p>
      <w:pPr>
        <w:pStyle w:val="BodyText"/>
        <w:rPr/>
      </w:pPr>
      <w:r>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April 9, 1996</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p>
      <w:pPr>
        <w:pStyle w:val="Normal"/>
        <w:rPr>
          <w:sz w:val="22"/>
        </w:rPr>
      </w:pPr>
      <w:r>
        <w:rPr>
          <w:sz w:val="22"/>
        </w:rPr>
        <w:t>Option Type:</w:t>
        <w:tab/>
        <w:tab/>
        <w:tab/>
        <w:tab/>
      </w:r>
      <w:r>
        <w:rPr>
          <w:sz w:val="22"/>
        </w:rPr>
        <w:fldChar w:fldCharType="begin"/>
      </w:r>
      <w:r>
        <w:rPr>
          <w:sz w:val="22"/>
        </w:rPr>
        <w:instrText xml:space="preserve"> MERGEFIELD ISDAOptCapFloor </w:instrText>
      </w:r>
      <w:r>
        <w:rPr>
          <w:sz w:val="22"/>
        </w:rPr>
        <w:fldChar w:fldCharType="separate"/>
      </w:r>
      <w:r>
        <w:rPr>
          <w:sz w:val="22"/>
        </w:rPr>
        <w:t>Cap</w:t>
      </w:r>
      <w:r>
        <w:rPr>
          <w:sz w:val="22"/>
        </w:rPr>
        <w:fldChar w:fldCharType="end"/>
      </w:r>
    </w:p>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rPr>
                <w:sz w:val="22"/>
              </w:rPr>
            </w:pPr>
            <w:r>
              <w:rPr>
                <w:sz w:val="22"/>
              </w:rPr>
              <w:t>Notional Quantity per</w:t>
            </w:r>
          </w:p>
          <w:p>
            <w:pPr>
              <w:pStyle w:val="Normal"/>
              <w:rPr>
                <w:sz w:val="22"/>
              </w:rPr>
            </w:pPr>
            <w:r>
              <w:rPr>
                <w:sz w:val="22"/>
              </w:rPr>
              <w:t>Calculation Period:</w:t>
            </w:r>
          </w:p>
        </w:tc>
        <w:tc>
          <w:tcPr>
            <w:tcW w:w="5958" w:type="dxa"/>
            <w:tcBorders/>
          </w:tcPr>
          <w:p>
            <w:pPr>
              <w:pStyle w:val="Normal"/>
              <w:snapToGrid w:val="false"/>
              <w:rPr>
                <w:sz w:val="22"/>
              </w:rPr>
            </w:pPr>
            <w:r>
              <w:rPr>
                <w:sz w:val="22"/>
              </w:rPr>
            </w:r>
          </w:p>
          <w:p>
            <w:pPr>
              <w:pStyle w:val="Normal"/>
              <w:rPr>
                <w:sz w:val="22"/>
              </w:rPr>
            </w:pPr>
            <w:r>
              <w:rPr>
                <w:sz w:val="22"/>
              </w:rPr>
              <w:fldChar w:fldCharType="begin"/>
            </w:r>
            <w:r>
              <w:rPr>
                <w:sz w:val="22"/>
              </w:rPr>
              <w:instrText xml:space="preserve"> MERGEFIELD QtyPerPeriod </w:instrText>
            </w:r>
            <w:r>
              <w:rPr>
                <w:sz w:val="22"/>
              </w:rPr>
              <w:fldChar w:fldCharType="separate"/>
            </w:r>
            <w:r>
              <w:rPr>
                <w:sz w:val="22"/>
              </w:rPr>
              <w:t>5,000 MMBtu multiplied by the number of days in the relevant Calculation Period</w:t>
            </w:r>
            <w:r>
              <w:rPr>
                <w:sz w:val="22"/>
              </w:rPr>
              <w:fldChar w:fldCharType="end"/>
            </w:r>
          </w:p>
        </w:tc>
      </w:tr>
    </w:tbl>
    <w:p>
      <w:pPr>
        <w:pStyle w:val="Normal"/>
        <w:rPr>
          <w:sz w:val="22"/>
        </w:rPr>
      </w:pPr>
      <w:r>
        <w:rPr>
          <w:sz w:val="22"/>
        </w:rPr>
      </w:r>
    </w:p>
    <w:p>
      <w:pPr>
        <w:pStyle w:val="Normal"/>
        <w:rPr>
          <w:sz w:val="22"/>
        </w:rPr>
      </w:pPr>
      <w:r>
        <w:rPr>
          <w:sz w:val="22"/>
        </w:rPr>
        <w:t>Commodity:</w:t>
        <w:tab/>
        <w:tab/>
        <w:tab/>
        <w:tab/>
      </w: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p>
    <w:p>
      <w:pPr>
        <w:pStyle w:val="Normal"/>
        <w:rPr>
          <w:sz w:val="22"/>
        </w:rPr>
      </w:pPr>
      <w:r>
        <w:rPr>
          <w:sz w:val="22"/>
        </w:rPr>
      </w:r>
    </w:p>
    <w:p>
      <w:pPr>
        <w:pStyle w:val="Normal"/>
        <w:rPr>
          <w:sz w:val="22"/>
        </w:rPr>
      </w:pPr>
      <w:r>
        <w:rPr>
          <w:sz w:val="22"/>
        </w:rPr>
        <w:t>Commodity Unit:</w:t>
        <w:tab/>
        <w:tab/>
        <w:tab/>
      </w:r>
      <w:r>
        <w:rPr>
          <w:sz w:val="22"/>
        </w:rPr>
        <w:fldChar w:fldCharType="begin"/>
      </w:r>
      <w:r>
        <w:rPr>
          <w:sz w:val="22"/>
        </w:rPr>
        <w:instrText xml:space="preserve"> MERGEFIELD UnitOfMeasure </w:instrText>
      </w:r>
      <w:r>
        <w:rPr>
          <w:sz w:val="22"/>
        </w:rPr>
        <w:fldChar w:fldCharType="separate"/>
      </w:r>
      <w:r>
        <w:rPr>
          <w:sz w:val="22"/>
        </w:rPr>
        <w:t>MMBtu (One Million British Thermal Units)</w:t>
      </w:r>
      <w:r>
        <w:rPr>
          <w:sz w:val="22"/>
        </w:rPr>
        <w:fldChar w:fldCharType="end"/>
      </w:r>
    </w:p>
    <w:p>
      <w:pPr>
        <w:pStyle w:val="Normal"/>
        <w:rPr>
          <w:sz w:val="22"/>
        </w:rPr>
      </w:pPr>
      <w:r>
        <w:rPr>
          <w:sz w:val="22"/>
        </w:rPr>
      </w:r>
    </w:p>
    <w:p>
      <w:pPr>
        <w:pStyle w:val="Normal"/>
        <w:rPr>
          <w:sz w:val="22"/>
        </w:rPr>
      </w:pPr>
      <w:r>
        <w:rPr>
          <w:sz w:val="22"/>
        </w:rPr>
        <w:t>Trade Date:</w:t>
        <w:tab/>
        <w:tab/>
        <w:tab/>
        <w:tab/>
      </w:r>
      <w:r>
        <w:rPr>
          <w:sz w:val="22"/>
        </w:rPr>
        <w:fldChar w:fldCharType="begin"/>
      </w:r>
      <w:r>
        <w:rPr>
          <w:sz w:val="22"/>
        </w:rPr>
        <w:instrText xml:space="preserve"> MERGEFIELD DealDate </w:instrText>
      </w:r>
      <w:r>
        <w:rPr>
          <w:sz w:val="22"/>
        </w:rPr>
        <w:fldChar w:fldCharType="separate"/>
      </w:r>
      <w:r>
        <w:rPr>
          <w:sz w:val="22"/>
        </w:rPr>
        <w:t>June 14, 2000</w:t>
      </w:r>
      <w:r>
        <w:rPr>
          <w:sz w:val="22"/>
        </w:rPr>
        <w:fldChar w:fldCharType="end"/>
      </w:r>
    </w:p>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rPr>
                <w:sz w:val="22"/>
              </w:rPr>
            </w:pPr>
            <w:r>
              <w:rPr>
                <w:sz w:val="22"/>
              </w:rPr>
              <w:t>Calculation Period(s):</w:t>
            </w:r>
          </w:p>
        </w:tc>
        <w:tc>
          <w:tcPr>
            <w:tcW w:w="5958" w:type="dxa"/>
            <w:tcBorders/>
          </w:tcPr>
          <w:p>
            <w:pPr>
              <w:pStyle w:val="Normal"/>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day beginning with July 01, 2000 and ending on July 31, 2000.</w:t>
            </w:r>
            <w:r>
              <w:rPr>
                <w:sz w:val="22"/>
              </w:rPr>
              <w:fldChar w:fldCharType="end"/>
            </w:r>
            <w:r>
              <w:rPr>
                <w:sz w:val="22"/>
              </w:rPr>
              <w:t xml:space="preserve">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rPr>
                <w:sz w:val="22"/>
              </w:rPr>
            </w:pPr>
            <w:r>
              <w:rPr>
                <w:sz w:val="22"/>
              </w:rPr>
              <w:t>Payment Dates(s):</w:t>
            </w:r>
          </w:p>
        </w:tc>
        <w:tc>
          <w:tcPr>
            <w:tcW w:w="5958" w:type="dxa"/>
            <w:tcBorders/>
          </w:tcPr>
          <w:p>
            <w:pPr>
              <w:pStyle w:val="Normal"/>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after the last Calculation Period with respect to each calendar month for those Calculation Periods occuring during such calendar month</w:t>
            </w:r>
            <w:r>
              <w:rPr>
                <w:sz w:val="22"/>
              </w:rPr>
              <w:fldChar w:fldCharType="end"/>
            </w:r>
          </w:p>
        </w:tc>
      </w:tr>
    </w:tbl>
    <w:p>
      <w:pPr>
        <w:pStyle w:val="Normal"/>
        <w:rPr>
          <w:sz w:val="22"/>
        </w:rPr>
      </w:pPr>
      <w:r>
        <w:rPr>
          <w:sz w:val="22"/>
        </w:rPr>
      </w:r>
    </w:p>
    <w:p>
      <w:pPr>
        <w:pStyle w:val="Normal"/>
        <w:rPr/>
      </w:pPr>
      <w:r>
        <w:rPr>
          <w:sz w:val="22"/>
        </w:rPr>
        <w:t>Premium Payment Details:</w:t>
        <w:tab/>
        <w:tab/>
        <w:t xml:space="preserve">On or before </w:t>
      </w:r>
      <w:r>
        <w:rPr>
          <w:sz w:val="22"/>
        </w:rPr>
        <w:fldChar w:fldCharType="begin"/>
      </w:r>
      <w:r>
        <w:rPr>
          <w:sz w:val="22"/>
        </w:rPr>
        <w:instrText xml:space="preserve"> MERGEFIELD OptionPremiumDate </w:instrText>
      </w:r>
      <w:r>
        <w:rPr>
          <w:sz w:val="22"/>
        </w:rPr>
        <w:fldChar w:fldCharType="separate"/>
      </w:r>
      <w:r>
        <w:rPr>
          <w:sz w:val="22"/>
        </w:rPr>
        <w:t>June 16, 2000</w:t>
      </w:r>
      <w:r>
        <w:rPr>
          <w:sz w:val="22"/>
        </w:rPr>
        <w:fldChar w:fldCharType="end"/>
      </w:r>
      <w:r>
        <w:rPr>
          <w:sz w:val="22"/>
        </w:rPr>
        <w:t xml:space="preserve">, </w:t>
      </w:r>
      <w:r>
        <w:rPr>
          <w:sz w:val="22"/>
        </w:rPr>
        <w:fldChar w:fldCharType="begin"/>
      </w:r>
      <w:r>
        <w:rPr>
          <w:sz w:val="22"/>
        </w:rPr>
        <w:instrText xml:space="preserve"> MERGEFIELD ISDABuyer </w:instrText>
      </w:r>
      <w:r>
        <w:rPr>
          <w:sz w:val="22"/>
        </w:rPr>
        <w:fldChar w:fldCharType="separate"/>
      </w:r>
      <w:r>
        <w:rPr>
          <w:sz w:val="22"/>
        </w:rPr>
        <w:t>Party B</w:t>
      </w:r>
      <w:r>
        <w:rPr>
          <w:sz w:val="22"/>
        </w:rPr>
        <w:fldChar w:fldCharType="end"/>
      </w:r>
      <w:r>
        <w:rPr>
          <w:sz w:val="22"/>
        </w:rPr>
        <w:t xml:space="preserve"> shall pay </w:t>
      </w:r>
    </w:p>
    <w:p>
      <w:pPr>
        <w:pStyle w:val="Normal"/>
        <w:rPr>
          <w:sz w:val="22"/>
        </w:rPr>
      </w:pPr>
      <w:r>
        <w:rPr>
          <w:sz w:val="22"/>
        </w:rPr>
        <w:tab/>
        <w:tab/>
        <w:tab/>
        <w:tab/>
        <w:tab/>
      </w:r>
      <w:r>
        <w:rPr>
          <w:sz w:val="22"/>
        </w:rPr>
        <w:fldChar w:fldCharType="begin"/>
      </w:r>
      <w:r>
        <w:rPr>
          <w:sz w:val="22"/>
        </w:rPr>
        <w:instrText xml:space="preserve"> MERGEFIELD ISDASeller </w:instrText>
      </w:r>
      <w:r>
        <w:rPr>
          <w:sz w:val="22"/>
        </w:rPr>
        <w:fldChar w:fldCharType="separate"/>
      </w:r>
      <w:r>
        <w:rPr>
          <w:sz w:val="22"/>
        </w:rPr>
        <w:t>Party A</w:t>
      </w:r>
      <w:r>
        <w:rPr>
          <w:sz w:val="22"/>
        </w:rPr>
        <w:fldChar w:fldCharType="end"/>
      </w:r>
      <w:r>
        <w:rPr>
          <w:sz w:val="22"/>
        </w:rPr>
        <w:t xml:space="preserve"> </w:t>
      </w:r>
      <w:r>
        <w:rPr>
          <w:sz w:val="22"/>
        </w:rPr>
        <w:fldChar w:fldCharType="begin"/>
      </w:r>
      <w:r>
        <w:rPr>
          <w:sz w:val="22"/>
        </w:rPr>
        <w:instrText xml:space="preserve"> MERGEFIELD OptionPremiumAmt </w:instrText>
      </w:r>
      <w:r>
        <w:rPr>
          <w:sz w:val="22"/>
        </w:rPr>
        <w:fldChar w:fldCharType="separate"/>
      </w:r>
      <w:r>
        <w:rPr>
          <w:sz w:val="22"/>
        </w:rPr>
        <w:t>US Dollars $31,387.50</w:t>
      </w:r>
      <w:r>
        <w:rPr>
          <w:sz w:val="22"/>
        </w:rPr>
        <w:fldChar w:fldCharType="end"/>
      </w:r>
    </w:p>
    <w:p>
      <w:pPr>
        <w:pStyle w:val="Normal"/>
        <w:rPr>
          <w:sz w:val="22"/>
        </w:rPr>
      </w:pPr>
      <w:r>
        <w:rPr>
          <w:sz w:val="22"/>
        </w:rPr>
      </w:r>
    </w:p>
    <w:p>
      <w:pPr>
        <w:pStyle w:val="Normal"/>
        <w:rPr>
          <w:sz w:val="22"/>
        </w:rPr>
      </w:pPr>
      <w:r>
        <w:rPr>
          <w:sz w:val="22"/>
        </w:rPr>
        <w:t xml:space="preserve">Fixed Price Payer </w:t>
      </w:r>
    </w:p>
    <w:p>
      <w:pPr>
        <w:pStyle w:val="Normal"/>
        <w:rPr>
          <w:sz w:val="22"/>
        </w:rPr>
      </w:pPr>
      <w:r>
        <w:rPr>
          <w:sz w:val="22"/>
        </w:rPr>
        <w:t>(Buyer):</w:t>
        <w:tab/>
        <w:tab/>
        <w:tab/>
        <w:tab/>
      </w:r>
      <w:r>
        <w:rPr>
          <w:sz w:val="22"/>
        </w:rPr>
        <w:fldChar w:fldCharType="begin"/>
      </w:r>
      <w:r>
        <w:rPr>
          <w:sz w:val="22"/>
        </w:rPr>
        <w:instrText xml:space="preserve"> MERGEFIELD StrikePayerWCode </w:instrText>
      </w:r>
      <w:r>
        <w:rPr>
          <w:sz w:val="22"/>
        </w:rPr>
        <w:fldChar w:fldCharType="separate"/>
      </w:r>
      <w:r>
        <w:rPr>
          <w:sz w:val="22"/>
        </w:rPr>
        <w:t>Party B</w:t>
      </w:r>
      <w:r>
        <w:rPr>
          <w:sz w:val="22"/>
        </w:rPr>
        <w:fldChar w:fldCharType="end"/>
      </w:r>
    </w:p>
    <w:p>
      <w:pPr>
        <w:pStyle w:val="Normal"/>
        <w:rPr>
          <w:sz w:val="22"/>
        </w:rPr>
      </w:pPr>
      <w:r>
        <w:rPr>
          <w:sz w:val="22"/>
        </w:rPr>
        <w:tab/>
        <w:tab/>
        <w:tab/>
        <w:tab/>
      </w:r>
    </w:p>
    <w:p>
      <w:pPr>
        <w:pStyle w:val="Normal"/>
        <w:rPr>
          <w:sz w:val="22"/>
        </w:rPr>
      </w:pPr>
      <w:r>
        <w:rPr>
          <w:sz w:val="22"/>
        </w:rPr>
      </w:r>
    </w:p>
    <w:p>
      <w:pPr>
        <w:pStyle w:val="Normal"/>
        <w:rPr>
          <w:sz w:val="22"/>
        </w:rPr>
      </w:pPr>
      <w:r>
        <w:rPr>
          <w:sz w:val="22"/>
        </w:rPr>
        <w:t xml:space="preserve">Floating Price Payer </w:t>
      </w:r>
    </w:p>
    <w:p>
      <w:pPr>
        <w:pStyle w:val="Normal"/>
        <w:rPr>
          <w:sz w:val="22"/>
        </w:rPr>
      </w:pPr>
      <w:r>
        <w:rPr>
          <w:sz w:val="22"/>
        </w:rPr>
        <w:t>(Seller):</w:t>
        <w:tab/>
        <w:tab/>
        <w:tab/>
        <w:tab/>
      </w:r>
      <w:r>
        <w:rPr>
          <w:sz w:val="22"/>
        </w:rPr>
        <w:fldChar w:fldCharType="begin"/>
      </w:r>
      <w:r>
        <w:rPr>
          <w:sz w:val="22"/>
        </w:rPr>
        <w:instrText xml:space="preserve"> MERGEFIELD FloatingPayerWCode </w:instrText>
      </w:r>
      <w:r>
        <w:rPr>
          <w:sz w:val="22"/>
        </w:rPr>
        <w:fldChar w:fldCharType="separate"/>
      </w:r>
      <w:r>
        <w:rPr>
          <w:sz w:val="22"/>
        </w:rPr>
        <w:t>Party A</w:t>
      </w:r>
      <w:r>
        <w:rPr>
          <w:sz w:val="22"/>
        </w:rPr>
        <w:fldChar w:fldCharType="end"/>
      </w:r>
    </w:p>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618"/>
        <w:gridCol w:w="90"/>
        <w:gridCol w:w="5868"/>
      </w:tblGrid>
      <w:tr>
        <w:trPr/>
        <w:tc>
          <w:tcPr>
            <w:tcW w:w="3618" w:type="dxa"/>
            <w:tcBorders/>
          </w:tcPr>
          <w:p>
            <w:pPr>
              <w:pStyle w:val="Normal"/>
              <w:snapToGrid w:val="false"/>
              <w:rPr>
                <w:sz w:val="22"/>
              </w:rPr>
            </w:pPr>
            <w:r>
              <w:rPr>
                <w:sz w:val="22"/>
              </w:rPr>
            </w:r>
          </w:p>
        </w:tc>
        <w:tc>
          <w:tcPr>
            <w:tcW w:w="5958" w:type="dxa"/>
            <w:gridSpan w:val="2"/>
            <w:tcBorders/>
          </w:tcPr>
          <w:p>
            <w:pPr>
              <w:pStyle w:val="Normal"/>
              <w:snapToGrid w:val="false"/>
              <w:rPr>
                <w:sz w:val="22"/>
              </w:rPr>
            </w:pPr>
            <w:r>
              <w:rPr>
                <w:sz w:val="22"/>
              </w:rPr>
            </w:r>
          </w:p>
        </w:tc>
      </w:tr>
      <w:tr>
        <w:trPr/>
        <w:tc>
          <w:tcPr>
            <w:tcW w:w="3708" w:type="dxa"/>
            <w:gridSpan w:val="2"/>
            <w:tcBorders/>
          </w:tcPr>
          <w:p>
            <w:pPr>
              <w:pStyle w:val="Normal"/>
              <w:rPr/>
            </w:pPr>
            <w:r>
              <w:rPr>
                <w:sz w:val="22"/>
              </w:rPr>
              <w:fldChar w:fldCharType="begin"/>
            </w:r>
            <w:r>
              <w:rPr>
                <w:sz w:val="22"/>
              </w:rPr>
              <w:instrText xml:space="preserve"> MERGEFIELD ISDAOptCapFloor </w:instrText>
            </w:r>
            <w:r>
              <w:rPr>
                <w:sz w:val="22"/>
              </w:rPr>
              <w:fldChar w:fldCharType="separate"/>
            </w:r>
            <w:r>
              <w:rPr>
                <w:sz w:val="22"/>
              </w:rPr>
              <w:t>Cap</w:t>
            </w:r>
            <w:r>
              <w:rPr>
                <w:sz w:val="22"/>
              </w:rPr>
              <w:fldChar w:fldCharType="end"/>
            </w:r>
            <w:r>
              <w:rPr>
                <w:sz w:val="22"/>
              </w:rPr>
              <w:t>Price:</w:t>
            </w:r>
          </w:p>
          <w:p>
            <w:pPr>
              <w:pStyle w:val="Normal"/>
              <w:rPr>
                <w:sz w:val="22"/>
              </w:rPr>
            </w:pPr>
            <w:r>
              <w:rPr>
                <w:sz w:val="22"/>
              </w:rPr>
              <w:t>(Strike Price)</w:t>
            </w:r>
          </w:p>
          <w:p>
            <w:pPr>
              <w:pStyle w:val="Normal"/>
              <w:rPr>
                <w:sz w:val="22"/>
              </w:rPr>
            </w:pPr>
            <w:r>
              <w:rPr>
                <w:sz w:val="22"/>
              </w:rPr>
            </w:r>
          </w:p>
        </w:tc>
        <w:tc>
          <w:tcPr>
            <w:tcW w:w="5868" w:type="dxa"/>
            <w:tcBorders/>
          </w:tcPr>
          <w:p>
            <w:pPr>
              <w:pStyle w:val="Normal"/>
              <w:ind w:start="-108" w:end="0"/>
              <w:jc w:val="both"/>
              <w:rPr>
                <w:sz w:val="22"/>
              </w:rPr>
            </w:pPr>
            <w:r>
              <w:rPr>
                <w:sz w:val="22"/>
              </w:rPr>
              <w:t xml:space="preserve">The Natural Gas Pipeline Co. of America – South Texas zone Index price for delivery during the applicable Calculation Period in the “Prices of Spot Gas Delivered to Pipelines” section located in the first issue of Inside F.E.R.C’s Gas Market Report published during the applicable Calculation Period.  </w:t>
            </w:r>
          </w:p>
        </w:tc>
      </w:tr>
      <w:tr>
        <w:trPr/>
        <w:tc>
          <w:tcPr>
            <w:tcW w:w="3618" w:type="dxa"/>
            <w:tcBorders/>
          </w:tcPr>
          <w:p>
            <w:pPr>
              <w:pStyle w:val="Normal"/>
              <w:snapToGrid w:val="false"/>
              <w:rPr>
                <w:sz w:val="22"/>
              </w:rPr>
            </w:pPr>
            <w:r>
              <w:rPr>
                <w:sz w:val="22"/>
              </w:rPr>
            </w:r>
          </w:p>
        </w:tc>
        <w:tc>
          <w:tcPr>
            <w:tcW w:w="5958" w:type="dxa"/>
            <w:gridSpan w:val="2"/>
            <w:tcBorders/>
          </w:tcPr>
          <w:p>
            <w:pPr>
              <w:pStyle w:val="Normal"/>
              <w:snapToGrid w:val="false"/>
              <w:rPr>
                <w:sz w:val="22"/>
              </w:rPr>
            </w:pPr>
            <w:r>
              <w:rPr>
                <w:sz w:val="22"/>
              </w:rPr>
            </w:r>
          </w:p>
        </w:tc>
      </w:tr>
      <w:tr>
        <w:trPr/>
        <w:tc>
          <w:tcPr>
            <w:tcW w:w="3618" w:type="dxa"/>
            <w:tcBorders/>
          </w:tcPr>
          <w:p>
            <w:pPr>
              <w:pStyle w:val="Normal"/>
              <w:snapToGrid w:val="false"/>
              <w:rPr>
                <w:sz w:val="22"/>
              </w:rPr>
            </w:pPr>
            <w:r>
              <w:rPr>
                <w:sz w:val="22"/>
              </w:rPr>
            </w:r>
          </w:p>
          <w:p>
            <w:pPr>
              <w:pStyle w:val="Normal"/>
              <w:rPr>
                <w:sz w:val="22"/>
              </w:rPr>
            </w:pPr>
            <w:r>
              <w:rPr>
                <w:sz w:val="22"/>
              </w:rPr>
              <w:t>Floating Price and</w:t>
            </w:r>
          </w:p>
          <w:p>
            <w:pPr>
              <w:pStyle w:val="Normal"/>
              <w:rPr>
                <w:sz w:val="22"/>
              </w:rPr>
            </w:pPr>
            <w:r>
              <w:rPr>
                <w:sz w:val="22"/>
              </w:rPr>
              <w:t>Pricing Date(s):</w:t>
            </w:r>
          </w:p>
        </w:tc>
        <w:tc>
          <w:tcPr>
            <w:tcW w:w="5958" w:type="dxa"/>
            <w:gridSpan w:val="2"/>
            <w:tcBorders/>
          </w:tcPr>
          <w:p>
            <w:pPr>
              <w:pStyle w:val="Normal"/>
              <w:snapToGrid w:val="false"/>
              <w:rPr>
                <w:sz w:val="22"/>
              </w:rPr>
            </w:pPr>
            <w:r>
              <w:rPr>
                <w:sz w:val="22"/>
              </w:rPr>
            </w:r>
          </w:p>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Midpoint price published on each calendar day during the Calculation Period under the heading “Daily Price Survey” in the South - Corpus Christi:  NGPL (STX) section of Gas Daily, or if a calendar day is not a Business Day then the price for such calendar day will be the Midpoint price published on the next succeeding Business Day.</w:t>
            </w:r>
            <w:r>
              <w:rPr>
                <w:sz w:val="22"/>
              </w:rPr>
              <w:fldChar w:fldCharType="end"/>
            </w:r>
          </w:p>
        </w:tc>
      </w:tr>
      <w:tr>
        <w:trPr/>
        <w:tc>
          <w:tcPr>
            <w:tcW w:w="3708" w:type="dxa"/>
            <w:gridSpan w:val="2"/>
            <w:tcBorders/>
          </w:tcPr>
          <w:p>
            <w:pPr>
              <w:pStyle w:val="Normal"/>
              <w:snapToGrid w:val="false"/>
              <w:rPr>
                <w:sz w:val="20"/>
              </w:rPr>
            </w:pPr>
            <w:r>
              <w:rPr>
                <w:sz w:val="20"/>
              </w:rPr>
            </w:r>
          </w:p>
        </w:tc>
        <w:tc>
          <w:tcPr>
            <w:tcW w:w="5868" w:type="dxa"/>
            <w:tcBorders/>
          </w:tcPr>
          <w:p>
            <w:pPr>
              <w:pStyle w:val="Normal"/>
              <w:keepNext w:val="true"/>
              <w:keepLines/>
              <w:snapToGrid w:val="false"/>
              <w:jc w:val="both"/>
              <w:rPr>
                <w:sz w:val="20"/>
              </w:rPr>
            </w:pPr>
            <w:r>
              <w:rPr>
                <w:sz w:val="20"/>
              </w:rPr>
            </w:r>
          </w:p>
        </w:tc>
      </w:tr>
      <w:tr>
        <w:trPr/>
        <w:tc>
          <w:tcPr>
            <w:tcW w:w="3618" w:type="dxa"/>
            <w:tcBorders/>
          </w:tcPr>
          <w:p>
            <w:pPr>
              <w:pStyle w:val="Normal"/>
              <w:snapToGrid w:val="false"/>
              <w:rPr>
                <w:sz w:val="22"/>
              </w:rPr>
            </w:pPr>
            <w:r>
              <w:rPr>
                <w:sz w:val="22"/>
              </w:rPr>
            </w:r>
          </w:p>
          <w:p>
            <w:pPr>
              <w:pStyle w:val="Normal"/>
              <w:rPr>
                <w:sz w:val="22"/>
              </w:rPr>
            </w:pPr>
            <w:r>
              <w:rPr>
                <w:sz w:val="22"/>
              </w:rPr>
              <w:t>Delivery Dates(s):</w:t>
            </w:r>
          </w:p>
        </w:tc>
        <w:tc>
          <w:tcPr>
            <w:tcW w:w="5958" w:type="dxa"/>
            <w:gridSpan w:val="2"/>
            <w:tcBorders/>
          </w:tcPr>
          <w:p>
            <w:pPr>
              <w:pStyle w:val="Normal"/>
              <w:snapToGrid w:val="false"/>
              <w:rPr>
                <w:sz w:val="22"/>
              </w:rPr>
            </w:pPr>
            <w:r>
              <w:rPr>
                <w:sz w:val="22"/>
              </w:rPr>
            </w:r>
          </w:p>
          <w:p>
            <w:pPr>
              <w:pStyle w:val="Normal"/>
              <w:rPr>
                <w:sz w:val="22"/>
              </w:rPr>
            </w:pPr>
            <w:r>
              <w:rPr>
                <w:sz w:val="22"/>
              </w:rPr>
              <w:t>Monthly periods,  commencing with the first Calculation Period and ending with the final Calculation Period</w:t>
            </w:r>
          </w:p>
        </w:tc>
      </w:tr>
      <w:tr>
        <w:trPr/>
        <w:tc>
          <w:tcPr>
            <w:tcW w:w="3618" w:type="dxa"/>
            <w:tcBorders/>
          </w:tcPr>
          <w:p>
            <w:pPr>
              <w:pStyle w:val="Normal"/>
              <w:rPr>
                <w:sz w:val="22"/>
              </w:rPr>
            </w:pPr>
            <w:r>
              <w:rPr>
                <w:sz w:val="22"/>
              </w:rPr>
              <w:fldChar w:fldCharType="begin"/>
            </w:r>
            <w:r>
              <w:rPr>
                <w:sz w:val="22"/>
              </w:rPr>
              <w:instrText xml:space="preserve"> MERGEFIELD MasterSettlementLit </w:instrText>
            </w:r>
            <w:r>
              <w:rPr>
                <w:sz w:val="22"/>
              </w:rPr>
              <w:fldChar w:fldCharType="separate"/>
            </w:r>
            <w:r>
              <w:rPr>
                <w:sz w:val="22"/>
              </w:rPr>
              <w:t>Cash Settlement Amount</w:t>
            </w:r>
            <w:r>
              <w:rPr>
                <w:sz w:val="22"/>
              </w:rPr>
              <w:fldChar w:fldCharType="end"/>
            </w:r>
          </w:p>
        </w:tc>
        <w:tc>
          <w:tcPr>
            <w:tcW w:w="5958" w:type="dxa"/>
            <w:gridSpan w:val="2"/>
            <w:tcBorders/>
          </w:tcPr>
          <w:p>
            <w:pPr>
              <w:pStyle w:val="Normal"/>
              <w:jc w:val="both"/>
              <w:rPr>
                <w:sz w:val="22"/>
              </w:rPr>
            </w:pPr>
            <w:r>
              <w:rPr>
                <w:sz w:val="22"/>
              </w:rPr>
              <w:fldChar w:fldCharType="begin"/>
            </w:r>
            <w:r>
              <w:rPr>
                <w:sz w:val="22"/>
              </w:rPr>
              <w:instrText xml:space="preserve"> MERGEFIELD MasterSettlementAmount </w:instrText>
            </w:r>
            <w:r>
              <w:rPr>
                <w:sz w:val="22"/>
              </w:rPr>
              <w:fldChar w:fldCharType="separate"/>
            </w:r>
            <w:r>
              <w:rPr>
                <w:sz w:val="22"/>
              </w:rPr>
              <w:t>Notwithstanding any provision of the Agreement to the contrary, for each relevant Payment Date, an amount owing, if any, shall be equal to the aggregate of the product of (i) the Notional Quantity per Calculation Period multiplied by (ii) the Strike Price Differential for each such Calculation Period, which amount shall be due and payable on the applicable Payment Date for such Calculation Period, provided, however, that the maximum amount payable by the Floating Price Payer shall not exceed US Dollars $930,000.00 (if for any Calculation Period the Floating Price is equal to or less than the Strike Price, then no payment shall be due with respect to such Calculation Period)</w:t>
            </w:r>
            <w:r>
              <w:rPr>
                <w:sz w:val="22"/>
              </w:rPr>
              <w:fldChar w:fldCharType="end"/>
            </w:r>
          </w:p>
        </w:tc>
      </w:tr>
      <w:tr>
        <w:trPr/>
        <w:tc>
          <w:tcPr>
            <w:tcW w:w="3618" w:type="dxa"/>
            <w:tcBorders/>
          </w:tcPr>
          <w:p>
            <w:pPr>
              <w:pStyle w:val="Normal"/>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5958" w:type="dxa"/>
            <w:gridSpan w:val="2"/>
            <w:tcBorders/>
          </w:tcPr>
          <w:p>
            <w:pPr>
              <w:pStyle w:val="Normal"/>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9576" w:type="dxa"/>
            <w:gridSpan w:val="3"/>
            <w:tcBorders/>
          </w:tcPr>
          <w:p>
            <w:pPr>
              <w:pStyle w:val="Normal"/>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BodyText"/>
        <w:rPr/>
      </w:pPr>
      <w:r>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t>Yours sincerely,</w:t>
      </w:r>
    </w:p>
    <w:p>
      <w:pPr>
        <w:pStyle w:val="Normal"/>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4338"/>
        <w:gridCol w:w="5220"/>
      </w:tblGrid>
      <w:tr>
        <w:trPr/>
        <w:tc>
          <w:tcPr>
            <w:tcW w:w="4338" w:type="dxa"/>
            <w:tcBorders/>
          </w:tcPr>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rPr>
                <w:sz w:val="22"/>
              </w:rPr>
            </w:pPr>
            <w:r>
              <w:rPr>
                <w:sz w:val="22"/>
              </w:rPr>
            </w:r>
          </w:p>
          <w:p>
            <w:pPr>
              <w:pStyle w:val="Normal"/>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r>
              <w:rPr>
                <w:sz w:val="22"/>
              </w:rPr>
              <w:t xml:space="preserve"> </w:t>
            </w:r>
          </w:p>
          <w:p>
            <w:pPr>
              <w:pStyle w:val="Normal"/>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r>
              <w:rPr>
                <w:sz w:val="22"/>
              </w:rPr>
              <w:t xml:space="preserve"> </w:t>
            </w:r>
          </w:p>
        </w:tc>
        <w:tc>
          <w:tcPr>
            <w:tcW w:w="5220" w:type="dxa"/>
            <w:tcBorders/>
          </w:tcPr>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Anadarko Petroleum Corporation</w:t>
            </w:r>
            <w:r>
              <w:rPr>
                <w:sz w:val="22"/>
              </w:rPr>
              <w:fldChar w:fldCharType="end"/>
            </w:r>
          </w:p>
          <w:p>
            <w:pPr>
              <w:pStyle w:val="Normal"/>
              <w:rPr>
                <w:sz w:val="22"/>
              </w:rPr>
            </w:pPr>
            <w:r>
              <w:rPr>
                <w:sz w:val="22"/>
              </w:rPr>
            </w:r>
          </w:p>
          <w:p>
            <w:pPr>
              <w:pStyle w:val="Normal"/>
              <w:rPr>
                <w:sz w:val="22"/>
              </w:rPr>
            </w:pPr>
            <w:r>
              <w:rPr>
                <w:sz w:val="22"/>
              </w:rPr>
            </w:r>
          </w:p>
          <w:p>
            <w:pPr>
              <w:pStyle w:val="Normal"/>
              <w:rPr>
                <w:sz w:val="22"/>
              </w:rPr>
            </w:pPr>
            <w:r>
              <w:rPr>
                <w:sz w:val="22"/>
              </w:rPr>
              <w:t>By:  _________________________________</w:t>
            </w:r>
          </w:p>
          <w:p>
            <w:pPr>
              <w:pStyle w:val="Normal"/>
              <w:rPr>
                <w:sz w:val="22"/>
              </w:rPr>
            </w:pPr>
            <w:r>
              <w:rPr>
                <w:sz w:val="22"/>
              </w:rPr>
              <w:t xml:space="preserve">Name: </w:t>
            </w:r>
          </w:p>
          <w:p>
            <w:pPr>
              <w:pStyle w:val="Normal"/>
              <w:rPr>
                <w:sz w:val="22"/>
              </w:rPr>
            </w:pPr>
            <w:r>
              <w:rPr>
                <w:sz w:val="22"/>
              </w:rPr>
              <w:t>Title:</w:t>
            </w:r>
          </w:p>
        </w:tc>
      </w:tr>
    </w:tbl>
    <w:p>
      <w:pPr>
        <w:pStyle w:val="Normal"/>
        <w:rPr/>
      </w:pPr>
      <w:r>
        <w:rPr/>
      </w:r>
    </w:p>
    <w:sectPr>
      <w:headerReference w:type="default" r:id="rId3"/>
      <w:type w:val="nextPage"/>
      <w:pgSz w:w="12240" w:h="15840"/>
      <w:pgMar w:left="1440" w:right="1440" w:gutter="0" w:header="72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r>
      <w:rPr>
        <w:sz w:val="22"/>
      </w:rPr>
      <w:fldChar w:fldCharType="begin"/>
    </w:r>
    <w:r>
      <w:rPr>
        <w:sz w:val="22"/>
      </w:rPr>
      <w:instrText xml:space="preserve"> TITLE </w:instrText>
    </w:r>
    <w:r>
      <w:rPr>
        <w:sz w:val="22"/>
      </w:rPr>
      <w:fldChar w:fldCharType="separate"/>
    </w:r>
    <w:r>
      <w:rPr>
        <w:sz w:val="22"/>
      </w:rPr>
      <w:t>NN0294.1</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2000-06-21T12:44:00Z</dcterms:created>
  <dc:creator>ECT</dc:creator>
  <dc:description/>
  <dc:language>en-CA</dc:language>
  <cp:lastModifiedBy>Souad Mahmassani</cp:lastModifiedBy>
  <dcterms:modified xsi:type="dcterms:W3CDTF">2000-06-21T12:44:00Z</dcterms:modified>
  <cp:revision>2</cp:revision>
  <dc:subject>Anadarko Petroleum Corporation</dc:subject>
  <dc:title>NN0294.1</dc:title>
</cp:coreProperties>
</file>