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r>
      <w:r>
        <w:rPr>
          <w:u w:val="single"/>
        </w:rPr>
        <w:t>PRIVILEGED AND CONFIDENTIAL</w:t>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t>To:  Dave Delainey, Janet Dietrich, Vicki Sharp, Jeremy Blachman, Craig Sutter, Don Black, Sean Holmes</w:t>
      </w:r>
    </w:p>
    <w:p>
      <w:pPr>
        <w:pStyle w:val="Normal"/>
        <w:rPr/>
      </w:pPr>
      <w:r>
        <w:rPr/>
        <w:t>From: Bill Rapp</w:t>
      </w:r>
    </w:p>
    <w:p>
      <w:pPr>
        <w:pStyle w:val="Normal"/>
        <w:rPr/>
      </w:pPr>
      <w:r>
        <w:rPr/>
        <w:t>Date: June 6, 2001</w:t>
      </w:r>
    </w:p>
    <w:p>
      <w:pPr>
        <w:pStyle w:val="Normal"/>
        <w:rPr/>
      </w:pPr>
      <w:r>
        <w:rPr/>
        <w:t>Subject: Legal Risks Analysis for American Express Transaction</w:t>
      </w:r>
    </w:p>
    <w:p>
      <w:pPr>
        <w:pStyle w:val="Normal"/>
        <w:rPr/>
      </w:pPr>
      <w:r>
        <w:rPr/>
      </w:r>
    </w:p>
    <w:p>
      <w:pPr>
        <w:pStyle w:val="Normal"/>
        <w:rPr/>
      </w:pPr>
      <w:r>
        <w:rPr/>
      </w:r>
    </w:p>
    <w:p>
      <w:pPr>
        <w:pStyle w:val="Normal"/>
        <w:rPr/>
      </w:pPr>
      <w:r>
        <w:rPr/>
        <w:t>Enron Energy Services, Inc. (“EESI”) plans to enter into  a Commodity Agreement and a Platform Agreement with American Express Company (“Amex”). Pursuant to these agreements, EESI will supply electricity and natural gas to Amex facilities in New York, New York. Set forth below is a summary of certain risks associated with the proposed transaction.</w:t>
      </w:r>
    </w:p>
    <w:p>
      <w:pPr>
        <w:pStyle w:val="Normal"/>
        <w:rPr/>
      </w:pPr>
      <w:r>
        <w:rPr/>
      </w:r>
    </w:p>
    <w:p>
      <w:pPr>
        <w:pStyle w:val="Normal"/>
        <w:rPr/>
      </w:pPr>
      <w:r>
        <w:rPr>
          <w:u w:val="single"/>
        </w:rPr>
        <w:t>Contract Structure</w:t>
      </w:r>
      <w:r>
        <w:rPr/>
        <w:t>.  The Platform Agreement sets forth certain general terms and conditions and outlines the overall relationship between EESI and Amex. The Platform Agreement provides the parties with the flexibility to enter into agreements for additional services, with the general terms and conditions of the Platform Agreement being applicable to those agreements and services as well. The Commodity  Agreement  sets forth the specific terms under which EESI will supply electricity and natural gas to Amex.</w:t>
      </w:r>
    </w:p>
    <w:p>
      <w:pPr>
        <w:pStyle w:val="Normal"/>
        <w:rPr/>
      </w:pPr>
      <w:r>
        <w:rPr/>
      </w:r>
    </w:p>
    <w:p>
      <w:pPr>
        <w:pStyle w:val="Normal"/>
        <w:rPr/>
      </w:pPr>
      <w:r>
        <w:rPr>
          <w:u w:val="single"/>
        </w:rPr>
        <w:t>Pricing</w:t>
      </w:r>
      <w:r>
        <w:rPr/>
        <w:t xml:space="preserve">.  The pricing for the natural gas supplied to Amex will be a flow-through of the applicable utility’s costs. The pricing for the electricity supplied to Amex will be either a flow-through of the applicable utility’s costs or, if both Amex and EESI agree, determined based on wholesale and retail pricing indices.  In either case, the electricity pricing will be adjusted by the application of “strike prices”. Amex’s electricity volumes have been split into four separate tranches (of 18 months, three years, five years and seven years, respectively) and there will be separate strike prices for each of those four tranches, creating a staggered maturity for the volumes of electricity subject to the contracts. During the term that each tranche is in effect, the strike prices are not subject to change or renegotiation. </w:t>
      </w:r>
    </w:p>
    <w:p>
      <w:pPr>
        <w:pStyle w:val="Normal"/>
        <w:rPr/>
      </w:pPr>
      <w:r>
        <w:rPr/>
      </w:r>
    </w:p>
    <w:p>
      <w:pPr>
        <w:pStyle w:val="Normal"/>
        <w:rPr/>
      </w:pPr>
      <w:r>
        <w:rPr>
          <w:u w:val="single"/>
        </w:rPr>
        <w:t>Payments</w:t>
      </w:r>
      <w:r>
        <w:rPr/>
        <w:t xml:space="preserve">.  Amex, which is a public company with an investment grade credit rating, is responsible for all payments to be made under both the Platform Agreement and the Commodity Agreement. If the credit rating for the long-term senior unsecured debt of Amex falls to a Standard &amp; Poor’s rating of BBB- or lower or a Moody’s rating of Baa3 or lower, EESI may terminate the Platform Agreement and the Commodity Agreement. Amex has the same termination rights in the event that the credit rating for the long-term senior unsecured debt of Enron Corp. falls to a Standard &amp; Poor’s rating of BBB- or lower or a Moody’s rating of Baa3 or lower. </w:t>
      </w:r>
    </w:p>
    <w:p>
      <w:pPr>
        <w:pStyle w:val="Normal"/>
        <w:rPr/>
      </w:pPr>
      <w:r>
        <w:rPr/>
      </w:r>
    </w:p>
    <w:p>
      <w:pPr>
        <w:pStyle w:val="Normal"/>
        <w:rPr/>
      </w:pPr>
      <w:r>
        <w:rPr>
          <w:u w:val="single"/>
        </w:rPr>
        <w:t>Facility Dispositions and Closures</w:t>
      </w:r>
      <w:r>
        <w:rPr/>
        <w:t xml:space="preserve">: If Amex transfers a facility to a “qualified purchaser”, EESI must continue to supply electricity and natural gas to that facility. A “qualified purchaser” is generally defined as a reputable and experienced owner of facilities of that type with credit reasonably acceptable to EESI. Also, in the event that Amex, during the term of the Commodity Agreement, enters into a sale/leaseback of The World Financial Center (Amex’s largest facility in New York), EESI will continue to supply electricity and gas to that facility, provided that EESI does not incur additional costs or become subject to additional or adverse regulation as a result of the sale/leaseback. For other transfers, or if a facility is closed, EESI will no longer be obligated to continue to supply gas or electricity; however, the volumes of gas and electricity under any outstanding tranches (see </w:t>
      </w:r>
      <w:r>
        <w:rPr>
          <w:u w:val="single"/>
        </w:rPr>
        <w:t>Pricing</w:t>
      </w:r>
      <w:r>
        <w:rPr/>
        <w:t xml:space="preserve"> above) will not be adjusted to reflect such a transfer or closure.</w:t>
      </w:r>
    </w:p>
    <w:p>
      <w:pPr>
        <w:pStyle w:val="Normal"/>
        <w:rPr/>
      </w:pPr>
      <w:r>
        <w:rPr/>
      </w:r>
    </w:p>
    <w:p>
      <w:pPr>
        <w:pStyle w:val="Normal"/>
        <w:rPr/>
      </w:pPr>
      <w:r>
        <w:rPr>
          <w:u w:val="single"/>
        </w:rPr>
        <w:t>Events of Default</w:t>
      </w:r>
      <w:r>
        <w:rPr/>
        <w:t xml:space="preserve">:  A defaulting party is, in certain instances, given “cure periods” under both the Platform Agreement and the Commodity Agreement, during which the defaulting party may remedy its default and avoid the exercise of rights by the non-defaulting party. The cure periods vary based on the type of default but range from seven days (in the case of a payment default)  to 20 days (for other performance defaults).  For other types of defaults (such as bankruptcy or insolvency) there are no cure periods.  </w:t>
      </w:r>
    </w:p>
    <w:p>
      <w:pPr>
        <w:pStyle w:val="Normal"/>
        <w:rPr/>
      </w:pPr>
      <w:r>
        <w:rPr/>
      </w:r>
    </w:p>
    <w:p>
      <w:pPr>
        <w:pStyle w:val="Normal"/>
        <w:rPr/>
      </w:pPr>
      <w:r>
        <w:rPr>
          <w:u w:val="single"/>
        </w:rPr>
        <w:t>Termination Upon an Event of Default</w:t>
      </w:r>
      <w:r>
        <w:rPr/>
        <w:t>: The Commodity Agreement and the Platform Agreement may be terminated upon an event of default. The non-defaulting party, in addition to its termination right, is entitled</w:t>
      </w:r>
    </w:p>
    <w:p>
      <w:pPr>
        <w:pStyle w:val="Normal"/>
        <w:rPr/>
      </w:pPr>
      <w:r>
        <w:rPr/>
        <w:t>to recover a termination payment. The language regarding the calculation of the termination payment generally allows the non-defaulting party to recover the amount by which the contract value exceeds the market value of the non-defaulting party’s commodity position. There is the risk that market value may be difficult to determine conclusively (due to lack of liquidity or other factors) and/or subject to potentially significant variations in result in the view of Amex and EESI.</w:t>
      </w:r>
    </w:p>
    <w:p>
      <w:pPr>
        <w:pStyle w:val="Normal"/>
        <w:rPr/>
      </w:pPr>
      <w:r>
        <w:rPr/>
      </w:r>
    </w:p>
    <w:p>
      <w:pPr>
        <w:pStyle w:val="Normal"/>
        <w:rPr/>
      </w:pPr>
      <w:r>
        <w:rPr/>
        <w:t xml:space="preserve"> </w:t>
      </w:r>
      <w:r>
        <w:rPr>
          <w:u w:val="single"/>
        </w:rPr>
        <w:t>Setoff</w:t>
      </w:r>
      <w:r>
        <w:rPr/>
        <w:t xml:space="preserve">:  Upon an early termination of the Commodity Agreement and the Platform Agreement, the non-defaulting party may setoff, against any amounts that it owes the defaulting party, any amounts that it is owed by the defaulting party under the Commodity Agreement or the Platform Agreement. This mutual right of setoff represents a change from EESI’s prior practice, which was to require the customer to waive all rights of setoff and to pay in full when due any amounts owed to EESI.   </w:t>
      </w:r>
    </w:p>
    <w:p>
      <w:pPr>
        <w:pStyle w:val="Normal"/>
        <w:rPr/>
      </w:pPr>
      <w:r>
        <w:rPr/>
      </w:r>
    </w:p>
    <w:p>
      <w:pPr>
        <w:pStyle w:val="Normal"/>
        <w:rPr/>
      </w:pPr>
      <w:r>
        <w:rPr>
          <w:u w:val="single"/>
        </w:rPr>
        <w:t>Other Termination</w:t>
      </w:r>
      <w:r>
        <w:rPr/>
        <w:t xml:space="preserve">: If there is a change in law that results in either party being subject to regulation as a public utility or would render either party’s performance illegal or unenforceable, the affected party may terminate the Platform Agreement and the Commodity Agreement. In such a circumstance, no termination payment is payable by the terminating party. </w:t>
      </w:r>
    </w:p>
    <w:p>
      <w:pPr>
        <w:pStyle w:val="Normal"/>
        <w:rPr/>
      </w:pPr>
      <w:r>
        <w:rPr/>
      </w:r>
    </w:p>
    <w:p>
      <w:pPr>
        <w:pStyle w:val="Normal"/>
        <w:rPr/>
      </w:pPr>
      <w:r>
        <w:rPr>
          <w:u w:val="single"/>
        </w:rPr>
        <w:t>Indemnification</w:t>
      </w:r>
      <w:r>
        <w:rPr/>
        <w:t>: Each party is obligated to indemnify the other party from and against any liabilities that result from injury to third parties (or to the property of third parties) caused by the negligence or misconduct of the indemnifying party. There is no indemnification obligation, however, to the extent that the party seeking indemnity has insurance coverage.</w:t>
      </w:r>
    </w:p>
    <w:p>
      <w:pPr>
        <w:pStyle w:val="Normal"/>
        <w:rPr/>
      </w:pPr>
      <w:r>
        <w:rPr/>
      </w:r>
    </w:p>
    <w:p>
      <w:pPr>
        <w:pStyle w:val="Normal"/>
        <w:rPr/>
      </w:pPr>
      <w:r>
        <w:rPr>
          <w:u w:val="single"/>
        </w:rPr>
        <w:t>Limitation of Liability</w:t>
      </w:r>
      <w:r>
        <w:rPr/>
        <w:t xml:space="preserve">: EESI’s liability under the Platform Agreement and the Commodity Agreement is limited to $7,500,000 in the aggregate. This limitation, however, does not apply to a termination payment that EESI may be obligated to make if Amex terminates the agreements due to an EESI default (see </w:t>
      </w:r>
      <w:r>
        <w:rPr>
          <w:u w:val="single"/>
        </w:rPr>
        <w:t>Termination Upon an Event of Default</w:t>
      </w:r>
      <w:r>
        <w:rPr/>
        <w:t xml:space="preserve"> above). </w:t>
      </w:r>
    </w:p>
    <w:p>
      <w:pPr>
        <w:pStyle w:val="Normal"/>
        <w:rPr/>
      </w:pPr>
      <w:r>
        <w:rPr/>
      </w:r>
    </w:p>
    <w:p>
      <w:pPr>
        <w:pStyle w:val="Normal"/>
        <w:rPr/>
      </w:pPr>
      <w:r>
        <w:rPr>
          <w:u w:val="single"/>
        </w:rPr>
        <w:t>Assignment</w:t>
      </w:r>
      <w:r>
        <w:rPr/>
        <w:t>: Generally, the agreements are not assignable by either party without the consent of the other party. However, in those instances in which the parties may assign the agreements without the consent of the other party, the assigning party remains liable under the agreements.</w:t>
      </w:r>
    </w:p>
    <w:p>
      <w:pPr>
        <w:pStyle w:val="Normal"/>
        <w:rPr/>
      </w:pPr>
      <w:r>
        <w:rPr/>
      </w:r>
    </w:p>
    <w:p>
      <w:pPr>
        <w:pStyle w:val="Normal"/>
        <w:rPr/>
      </w:pPr>
      <w:r>
        <w:rPr>
          <w:u w:val="single"/>
        </w:rPr>
        <w:t>Dispute Resolution</w:t>
      </w:r>
      <w:r>
        <w:rPr/>
        <w:t>: Any disputes relating to the agreements will be resolved exclusively through final and binding arbitration. However, prior to submitting a claim to arbitration, the parties are required for a period of 30 days to make a good faith attempt to resolve the claim.</w:t>
      </w:r>
    </w:p>
    <w:p>
      <w:pPr>
        <w:pStyle w:val="Normal"/>
        <w:rPr/>
      </w:pPr>
      <w:r>
        <w:rPr/>
      </w:r>
    </w:p>
    <w:p>
      <w:pPr>
        <w:pStyle w:val="Normal"/>
        <w:rPr/>
      </w:pPr>
      <w:r>
        <w:rPr>
          <w:u w:val="single"/>
        </w:rPr>
        <w:t>Limited Agency</w:t>
      </w:r>
      <w:r>
        <w:rPr/>
        <w:t xml:space="preserve">: The agreements provide that EESI will be Amex’s limited agent for dealings with utilities and other actions necessary to implement the agreements. Given this principal-agent relationship, there is the potential for claims by Amex that EESI, as agent, either acted in its own interests to Amex’s detriment or exceeded the scope of its authority. This risk is mitigated by (a) an express provision stating that EESI will have no liability in such an event, (b) the general scope and nature of the actions for which EESI could bind Amex without its consent being fairly limited, and (c) the fact the EESI’s and Amex’s interests should be aligned in most cases. </w:t>
      </w:r>
    </w:p>
    <w:p>
      <w:pPr>
        <w:pStyle w:val="Normal"/>
        <w:rPr/>
      </w:pPr>
      <w:r>
        <w:rPr/>
      </w:r>
    </w:p>
    <w:p>
      <w:pPr>
        <w:pStyle w:val="Normal"/>
        <w:rPr/>
      </w:pPr>
      <w:r>
        <w:rPr/>
      </w:r>
    </w:p>
    <w:p>
      <w:pPr>
        <w:pStyle w:val="Normal"/>
        <w:rPr/>
      </w:pPr>
      <w:r>
        <w:rPr/>
      </w:r>
    </w:p>
    <w:p>
      <w:pPr>
        <w:pStyle w:val="Normal"/>
        <w:rPr/>
      </w:pPr>
      <w:r>
        <w:rPr/>
        <w:t xml:space="preserve">cc: </w:t>
        <w:tab/>
        <w:t>Trey Comiskey</w:t>
      </w:r>
    </w:p>
    <w:p>
      <w:pPr>
        <w:pStyle w:val="Normal"/>
        <w:rPr/>
      </w:pPr>
      <w:r>
        <w:rPr/>
        <w:tab/>
        <w:t>Deborah Culver</w:t>
      </w:r>
    </w:p>
    <w:p>
      <w:pPr>
        <w:pStyle w:val="Normal"/>
        <w:ind w:firstLine="720" w:end="0"/>
        <w:rPr/>
      </w:pPr>
      <w:r>
        <w:rPr/>
        <w:t>Denise Furey</w:t>
      </w:r>
    </w:p>
    <w:p>
      <w:pPr>
        <w:pStyle w:val="Normal"/>
        <w:rPr/>
      </w:pPr>
      <w:r>
        <w:rPr/>
        <w:tab/>
        <w:t>Mark Haedicke</w:t>
      </w:r>
    </w:p>
    <w:p>
      <w:pPr>
        <w:pStyle w:val="Normal"/>
        <w:rPr/>
      </w:pPr>
      <w:r>
        <w:rPr/>
        <w:tab/>
        <w:t>Jeff Hodge</w:t>
      </w:r>
    </w:p>
    <w:p>
      <w:pPr>
        <w:pStyle w:val="Normal"/>
        <w:rPr/>
      </w:pPr>
      <w:r>
        <w:rPr/>
        <w:tab/>
        <w:t>Michelle Maynard</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2001-05-30T12:58:00Z</dcterms:created>
  <dc:creator>brapp</dc:creator>
  <dc:description/>
  <dc:language>en-CA</dc:language>
  <cp:lastModifiedBy>brapp</cp:lastModifiedBy>
  <cp:lastPrinted>2001-06-06T13:05:00Z</cp:lastPrinted>
  <dcterms:modified xsi:type="dcterms:W3CDTF">2001-06-06T15:42:00Z</dcterms:modified>
  <cp:revision>11</cp:revision>
  <dc:subject/>
  <dc:title/>
</cp:coreProperties>
</file>