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5,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/>
              <w:t xml:space="preserve">Ameritex was formed to generate, develop and sell 3-D seismic drilling prospects in exchange for cash proceeds and carried working interests.  AVII will own and fund 86% of the prospect generation expenses and a participation agreement with an existing partnership will provide the funding for the remaining 14%.  The partnership will concentrate its efforts in the Gulf Coast of Texas area. 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Ameritex Ventures II, Ltd.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TYPE OF INVESTMENT:  </w:t>
      </w:r>
      <w:r>
        <w:rPr/>
        <w:t>Partnership Interest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STOCK: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TRADING EXCHANGE: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STRIKE PRICE:</w:t>
      </w:r>
      <w:r>
        <w:rPr/>
        <w:t xml:space="preserve"> N/A</w:t>
        <w:tab/>
        <w:t>($4,563,600 Notional Value)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NET –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/mnt/main-storage/datasets/enron-docs/doc/Ameritex-20e5402b31e272e04d0dfa9b2a5fe69f493a19f1bf077f8734d8e5df23ccf917.doc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/mnt/main-storage/datasets/enron-docs/doc/Ameritex-20e5402b31e272e04d0dfa9b2a5fe69f493a19f1bf077f8734d8e5df23ccf917.doc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2000-09-05T18:16:00Z</dcterms:created>
  <dc:creator>mruane</dc:creator>
  <dc:description>MR: 9-20-99 added tax signoff</dc:description>
  <dc:language>en-CA</dc:language>
  <cp:lastModifiedBy>brian schwertner</cp:lastModifiedBy>
  <cp:lastPrinted>2000-09-11T17:07:00Z</cp:lastPrinted>
  <dcterms:modified xsi:type="dcterms:W3CDTF">2000-09-11T19:37:00Z</dcterms:modified>
  <cp:revision>7</cp:revision>
  <dc:subject/>
  <dc:title>ENRON RISK ASSESSMENT AND CONTROL</dc:title>
</cp:coreProperties>
</file>