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INTERCONNECT AND OPERATING AGREEMENT</w:t>
      </w:r>
    </w:p>
    <w:p>
      <w:pPr>
        <w:pStyle w:val="Normal"/>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 xml:space="preserve">THIS AGREEMENT is made and entered into and effective this _____ day of __________, 2001, by and between </w:t>
      </w:r>
      <w:r>
        <w:rPr>
          <w:rFonts w:cs="Times New Roman" w:ascii="Times New Roman" w:hAnsi="Times New Roman"/>
          <w:b/>
          <w:sz w:val="24"/>
        </w:rPr>
        <w:t xml:space="preserve">NORTHERN NATURAL GAS COMPANY, </w:t>
      </w:r>
      <w:r>
        <w:rPr>
          <w:rFonts w:cs="Times New Roman" w:ascii="Times New Roman" w:hAnsi="Times New Roman"/>
          <w:sz w:val="24"/>
        </w:rPr>
        <w:t xml:space="preserve">a Delaware corporation, hereinafter referred to as "Northern" and </w:t>
      </w:r>
      <w:r>
        <w:rPr>
          <w:rFonts w:cs="Times New Roman" w:ascii="Times New Roman" w:hAnsi="Times New Roman"/>
          <w:b/>
          <w:sz w:val="24"/>
        </w:rPr>
        <w:t>AMERICAN WARRIOR, INC.</w:t>
      </w:r>
      <w:r>
        <w:rPr>
          <w:rFonts w:cs="Times New Roman" w:ascii="Times New Roman" w:hAnsi="Times New Roman"/>
          <w:bCs/>
          <w:sz w:val="24"/>
        </w:rPr>
        <w:t>, a Kansas corporation,</w:t>
      </w:r>
      <w:r>
        <w:rPr>
          <w:rFonts w:cs="Times New Roman" w:ascii="Times New Roman" w:hAnsi="Times New Roman"/>
          <w:b/>
          <w:sz w:val="24"/>
        </w:rPr>
        <w:t xml:space="preserve"> </w:t>
      </w:r>
      <w:r>
        <w:rPr>
          <w:rFonts w:cs="Times New Roman" w:ascii="Times New Roman" w:hAnsi="Times New Roman"/>
          <w:sz w:val="24"/>
        </w:rPr>
        <w:t>hereinafter referred to as "American Warrior."  Northern and American Warrior may collectively be referred to herein as "Parties" and/or separately identified as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rPr>
        <w:t>WITNESSETH:</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b/>
          <w:sz w:val="24"/>
        </w:rPr>
        <w:tab/>
        <w:t xml:space="preserve">WHEREAS, </w:t>
      </w:r>
      <w:r>
        <w:rPr>
          <w:rFonts w:cs="Times New Roman" w:ascii="Times New Roman" w:hAnsi="Times New Roman"/>
          <w:sz w:val="24"/>
        </w:rPr>
        <w:t>Northern has received a request from DESF for Northern to provide a pipeline interconnect to American Warrior in the SE ¼ of SE ¼ of Section 35 in 20S and 21W (SESE 35-20-21) in Hodgman County, Kansas.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b/>
          <w:sz w:val="24"/>
        </w:rPr>
        <w:tab/>
        <w:t>WHEREAS,</w:t>
      </w:r>
      <w:r>
        <w:rPr>
          <w:rFonts w:cs="Times New Roman" w:ascii="Times New Roman" w:hAnsi="Times New Roman"/>
          <w:sz w:val="24"/>
        </w:rPr>
        <w:t xml:space="preserve"> Northern has agreed that Northern will install and operate certain receipt point facilities in order to allow Northern to receive natural gas from American Warrior.</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576" w:end="0"/>
        <w:jc w:val="both"/>
        <w:rPr/>
      </w:pPr>
      <w:r>
        <w:rPr>
          <w:rFonts w:cs="Times New Roman" w:ascii="Times New Roman" w:hAnsi="Times New Roman"/>
          <w:b/>
          <w:sz w:val="24"/>
        </w:rPr>
        <w:t xml:space="preserve">NOW, THEREFORE, </w:t>
      </w:r>
      <w:r>
        <w:rPr>
          <w:rFonts w:cs="Times New Roman" w:ascii="Times New Roman" w:hAnsi="Times New Roman"/>
          <w:sz w:val="24"/>
        </w:rPr>
        <w:t>in consideration of the mutual promises, covenants, and undertakings herein contained, the Parties do hereby agree as follows:</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sz w:val="24"/>
        </w:rPr>
      </w:pPr>
      <w:r>
        <w:rPr>
          <w:rFonts w:cs="Times New Roman" w:ascii="Times New Roman" w:hAnsi="Times New Roman"/>
          <w:b/>
          <w:sz w:val="24"/>
        </w:rPr>
        <w:t>ARTICLE I</w:t>
      </w:r>
    </w:p>
    <w:p>
      <w:pPr>
        <w:pStyle w:val="Normal"/>
        <w:keepNext w:val="true"/>
        <w:jc w:val="center"/>
        <w:rPr>
          <w:rFonts w:ascii="Times New Roman" w:hAnsi="Times New Roman" w:cs="Times New Roman"/>
          <w:sz w:val="24"/>
        </w:rPr>
      </w:pPr>
      <w:r>
        <w:rPr>
          <w:rFonts w:cs="Times New Roman" w:ascii="Times New Roman" w:hAnsi="Times New Roman"/>
          <w:b/>
          <w:sz w:val="24"/>
          <w:u w:val="single"/>
        </w:rPr>
        <w:t>DEFINITIONS</w:t>
      </w:r>
    </w:p>
    <w:p>
      <w:pPr>
        <w:pStyle w:val="Normal"/>
        <w:keepNext w:val="true"/>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w:t>
        <w:tab/>
        <w:t>"Agreement" shall mean this Interconnect and Operating Agreement between Northern and American Warrier.</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1.2</w:t>
        <w:tab/>
        <w:t>"Affiliate" shall mean, with respect to either Party, any other entity (other than an individual) that directly or indirectly controls, or is</w:t>
      </w:r>
      <w:r>
        <w:rPr>
          <w:rFonts w:cs="Times New Roman" w:ascii="Times New Roman" w:hAnsi="Times New Roman"/>
          <w:b/>
          <w:sz w:val="24"/>
        </w:rPr>
        <w:t xml:space="preserve"> </w:t>
      </w:r>
      <w:r>
        <w:rPr>
          <w:rFonts w:cs="Times New Roman" w:ascii="Times New Roman" w:hAnsi="Times New Roman"/>
          <w:sz w:val="24"/>
        </w:rPr>
        <w:t>controlled by or is under common control with such Party.</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1.3</w:t>
        <w:tab/>
        <w:t>"Business Day" shall mean Monday through Friday, excluding Federal Banking Holidays.</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1.4</w:t>
        <w:tab/>
        <w:t>"Day" shall mean a period of twenty-four (24) consecutive hours beginning and ending at 9:00 a.m. Central Clock Time.</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1.5</w:t>
        <w:tab/>
        <w:t>"Gas Day" shall mean a period of twenty-four (24) consecutive hours, beginning and ending at 9:00 a.m. Central Clock Time.</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1.6</w:t>
        <w:tab/>
        <w:t>"Interconnect Facilities" shall mean a 3-inch tap, side valve and riser located in Hodgeman County, Kansas to be installed, owned and operated by Northern pursuant to the terms of this Agreement.</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1.7</w:t>
        <w:tab/>
        <w:t>"Interconnect Point" shall mean the delivery point in Hodgeman County, Kansas where Northern's facilities interconnect with the facilities of American Warrior.  Such point will be designated as Northern's POI No. _______.</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1.8</w:t>
        <w:tab/>
        <w:t>"Psia" shall mean pounds per square inch absolute, which includes atmospheric pressure and gauge pressure.</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1.9</w:t>
        <w:tab/>
        <w:t>"Psig" shall mean pounds per square inch gauge, above atmospheric pressure.</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1.10</w:t>
        <w:tab/>
        <w:t>"Year" shall mean a period of three hundred sixty-five (365) consecutive days; provided, however, any year which contains a date of February 29 shall consist of three hundred sixty-six (366) days.</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1.11</w:t>
        <w:tab/>
        <w:t>British Thermal Unit ("BTU") shall mean the amount of heat required to raise the temperature of one pound of water from fifty-nine degrees Fahrenheit (59F) to sixty degrees Fahrenheit (60F).</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1.12</w:t>
        <w:tab/>
        <w:t>"MMBtu” shall mean l,000,000 Btu.</w:t>
      </w:r>
    </w:p>
    <w:p>
      <w:pPr>
        <w:pStyle w:val="Normal"/>
        <w:tabs>
          <w:tab w:val="left" w:pos="720" w:leader="none"/>
        </w:tabs>
        <w:ind w:hanging="720" w:start="720" w:end="-144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720" w:end="0"/>
        <w:jc w:val="both"/>
        <w:rPr>
          <w:rFonts w:ascii="Times New Roman" w:hAnsi="Times New Roman" w:cs="Times New Roman"/>
          <w:sz w:val="24"/>
        </w:rPr>
      </w:pPr>
      <w:r>
        <w:rPr>
          <w:rFonts w:cs="Times New Roman" w:ascii="Times New Roman" w:hAnsi="Times New Roman"/>
          <w:sz w:val="24"/>
        </w:rPr>
        <w:t>1.13</w:t>
        <w:tab/>
        <w:t>"Dekatherm" shall mean the quantity of heat energy which is equivalent to 1,000,000 Btu.  One dekatherm of gas shall mean the quantity of gas which contains one dekatherm of heat energy.</w:t>
      </w:r>
    </w:p>
    <w:p>
      <w:pPr>
        <w:pStyle w:val="Normal"/>
        <w:tabs>
          <w:tab w:val="left" w:pos="720" w:leader="none"/>
        </w:tabs>
        <w:ind w:hanging="720" w:start="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2</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TERM</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2.1</w:t>
        <w:tab/>
        <w:t>This Agreement shall be effective as of ____________________, 2001, and shall remain in full force and effect for a primary term of two (2) years.  After the primary term, this Agreement shall continue in full force and effect for month to month, unless terminated at any time by either Party upon at least thirty (30) days prior written notice to the other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3</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FACILITIES</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3.1</w:t>
        <w:tab/>
        <w:t>Northern agrees to install, own, operate and maintain the Interconnect Facilities.  Northern shall proceed promptly to install the Interconnect Facilities described above upon execution of this Agreement and receipt of funds described below.</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3.2</w:t>
        <w:tab/>
      </w:r>
      <w:r>
        <w:rPr>
          <w:rFonts w:cs="Times New Roman" w:ascii="Times New Roman" w:hAnsi="Times New Roman"/>
          <w:sz w:val="24"/>
          <w:u w:val="single"/>
        </w:rPr>
        <w:t>Cost of Facilities</w:t>
      </w:r>
      <w:r>
        <w:rPr>
          <w:rFonts w:cs="Times New Roman" w:ascii="Times New Roman" w:hAnsi="Times New Roman"/>
          <w:sz w:val="24"/>
        </w:rPr>
        <w:t>.  Upon the execution of this Agreement, American Warrior shall pay Northern an estimated cost of Thirty Thousand Dollars ($30,000) to cover all costs relating to materials, equipment, contract labor, company labor, taxes and gas lost for installation of the facilities referenced in Paragraph 3.1 above.</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ab/>
        <w:t>If the actual costs and expenses including taxes and overhead described herein exceed Thirty Thousand Dollars ($30,000), American Warrior shall reimburse Northern for the excess amount within thirty (30) days after American Warrior’s receipt of Northern’s invoice thereof.  If actual costs and expenses are less than Thirty Thousand Dollars ($30,000), Northern shall remit to American Warrior the difference between Thirty Thousand Dollars ($30,000) and the actual costs and expenses within thirty (30) days from Northern’s payment of the final invoice for the installation of the facilities referenced in Paragraph 3.1 above.</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3.3</w:t>
        <w:tab/>
        <w:t>American Warrior agrees to install, own, operate and maintain at its sole cost and expense measurement and related facilities at the Interconnect Point to measure up to 5,000 MMBtu/day.  American Warrior agrees to construct these facilities in accordance with Enron specifications.</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4</w:t>
      </w:r>
    </w:p>
    <w:p>
      <w:pPr>
        <w:pStyle w:val="Normal"/>
        <w:keepNext w:val="true"/>
        <w:jc w:val="center"/>
        <w:rPr>
          <w:rFonts w:ascii="Times New Roman" w:hAnsi="Times New Roman" w:cs="Times New Roman"/>
          <w:b/>
          <w:sz w:val="24"/>
          <w:u w:val="single"/>
        </w:rPr>
      </w:pPr>
      <w:r>
        <w:rPr>
          <w:rFonts w:cs="Times New Roman" w:ascii="Times New Roman" w:hAnsi="Times New Roman"/>
          <w:b/>
          <w:sz w:val="24"/>
          <w:u w:val="single"/>
        </w:rPr>
        <w:t>OPERATION OF FACILITIES</w:t>
      </w:r>
    </w:p>
    <w:p>
      <w:pPr>
        <w:pStyle w:val="Normal"/>
        <w:keepNext w:val="true"/>
        <w:jc w:val="both"/>
        <w:rPr>
          <w:rFonts w:ascii="Times New Roman" w:hAnsi="Times New Roman" w:cs="Times New Roman"/>
          <w:b/>
          <w:sz w:val="24"/>
          <w:u w:val="single"/>
        </w:rPr>
      </w:pPr>
      <w:r>
        <w:rPr>
          <w:rFonts w:cs="Times New Roman" w:ascii="Times New Roman" w:hAnsi="Times New Roman"/>
          <w:b/>
          <w:sz w:val="24"/>
          <w:u w:val="single"/>
        </w:rPr>
      </w:r>
    </w:p>
    <w:p>
      <w:pPr>
        <w:pStyle w:val="Normal"/>
        <w:ind w:hanging="720" w:start="720" w:end="0"/>
        <w:jc w:val="both"/>
        <w:rPr>
          <w:rFonts w:ascii="Times New Roman" w:hAnsi="Times New Roman" w:cs="Times New Roman"/>
          <w:sz w:val="24"/>
        </w:rPr>
      </w:pPr>
      <w:r>
        <w:rPr>
          <w:rFonts w:cs="Times New Roman" w:ascii="Times New Roman" w:hAnsi="Times New Roman"/>
          <w:sz w:val="24"/>
        </w:rPr>
        <w:t>4.1</w:t>
        <w:tab/>
        <w:t>Northern has responsibility for operating the Interconnect Facilities in a manner consistent with industry standard practices and subject to the terms and conditions contained herein.</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4.2</w:t>
        <w:tab/>
        <w:t>Northern shall operate the Interconnect Facilities in accordance with the provisions of Northern’s FERC Gas Tariff, as amended from time to time.</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4.3</w:t>
        <w:tab/>
        <w:t>Northern and American Warrior agree that this Agreement is an Interconnect and Operating Agreement only and does not obligate either party to transport gas.  Terms and conditions for the transportation of gas shall be controlled by separate agreements.</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5</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RISK OF LOSS, S</w:t>
      </w:r>
      <w:r>
        <w:rPr>
          <w:rFonts w:cs="Times New Roman" w:ascii="Times New Roman" w:hAnsi="Times New Roman"/>
          <w:b/>
          <w:caps/>
          <w:sz w:val="24"/>
          <w:u w:val="single"/>
        </w:rPr>
        <w:t>alV</w:t>
      </w:r>
      <w:r>
        <w:rPr>
          <w:rFonts w:cs="Times New Roman" w:ascii="Times New Roman" w:hAnsi="Times New Roman"/>
          <w:b/>
          <w:sz w:val="24"/>
          <w:u w:val="single"/>
        </w:rPr>
        <w:t>AGE AND INDEMNIFICATION</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5.1</w:t>
        <w:tab/>
      </w:r>
      <w:r>
        <w:rPr>
          <w:rFonts w:cs="Times New Roman" w:ascii="Times New Roman" w:hAnsi="Times New Roman"/>
          <w:sz w:val="24"/>
          <w:u w:val="single"/>
        </w:rPr>
        <w:t>Termination and Discontinuation of Service</w:t>
      </w:r>
      <w:r>
        <w:rPr>
          <w:rFonts w:cs="Times New Roman" w:ascii="Times New Roman" w:hAnsi="Times New Roman"/>
          <w:sz w:val="24"/>
        </w:rPr>
        <w:t>.  Upon termination of this Agreement, American Warrior shall, unless otherwise mutually agreed, promptly disconnect its facilities from the Interconnect Facilities.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5.2</w:t>
        <w:tab/>
        <w:t>a.</w:t>
        <w:tab/>
        <w:t>Northern shall protect, defend, indemnify and save harmless American Warrior, its affiliated companies and their respective officers, directors, stockholders, employees, and agents and servants from and against all liabilities, losses, claims, damages, penalties, causes of action and suits (including suits for personal injuries, death or property damage or loss and including reasonable attorneys' fees and expenses) to the extent caused by the negligence of Northern, its employees or its agent(s) arising out of or in connection with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b.</w:t>
        <w:tab/>
        <w:t>American Warrior shall protect, defend, indemnify and save harmless Northern, its affiliated companies and their respective officers, directors, stockholders, employees, and agents and servants from and against all liabilities, losses, claims, damages, penalties, causes of action and suits (including suits for personal injuries, death or property damage or loss and including reasonable attorneys' fees and expenses) to the extent caused by the negligence of American Warrior, its employees or its agent(s) arising out of or in connection with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c.</w:t>
        <w:tab/>
        <w:t>If any provision of this indemnity or the application thereof shall to any extent be rendered invalid or unenforceable, then the remainder of this indemnity shall not be affected thereby, it being intended and agreed that this indemnity shall be construed and enforced to the fullest extent permitted by applicable Texas law.</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5.3</w:t>
        <w:tab/>
        <w:t>IN NO EVENT SHALL EITHER PARTY BE LIABLE TO THE OTHER FOR ANY LOST OR PROSPECTIVE PROFITS OR ANY OTHER SPECIAL, PUNITIVE, EXEMPLARY, CONSEQUENTIAL, INCIDENTAL OR INDIRECT LOSSES OR DAMAGES (WHETHER IN TORT, CONTRACT OR OTHERWISE) ARISING OUT OF OR IN CONNECTION WITH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6</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FORCE MAJEURE</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6.1</w:t>
        <w:tab/>
      </w:r>
      <w:r>
        <w:rPr>
          <w:rFonts w:cs="Times New Roman" w:ascii="Times New Roman" w:hAnsi="Times New Roman"/>
          <w:sz w:val="24"/>
          <w:u w:val="single"/>
        </w:rPr>
        <w:t>Force Majeure</w:t>
      </w:r>
      <w:r>
        <w:rPr>
          <w:rFonts w:cs="Times New Roman" w:ascii="Times New Roman" w:hAnsi="Times New Roman"/>
          <w:sz w:val="24"/>
        </w:rPr>
        <w:t>.  In the event of either Party being rendered unable, wholly or in part, by force majeure to carry out its obligations under this Agreement, except payment of money, it is agreed that upon such Party giving notice and reasonably full particulars of such force majeure in writing or by telegraph, telefax, or telephone followed by written confirmation to the other Party within a reasonable time after the occurrence of the cause relied on, then the obligations of the Party giving such notice, so far as they are affected by such force majeure, shall be suspended during the continuance of any inability so caused, but for no longer period, and such cause shall so far as possible be remedied with all reasonable dispatch.</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6.2</w:t>
        <w:tab/>
        <w:t>The term "force majeure," as employed herein, shall mean acts of God, strikes, lockouts or other industrial disturbances, acts of the public enemy, wars, blockades, insurrections, riots, epidemics, landslides, lightning, earthquakes, fires, storms, floods, high water, washout, arrests and restraints of governments and people, civil disturbances, explosions, breakage or accident to machinery or lines of pipe, the necessity for making repairs, tests of or alterations to machinery or lines of pipe, freezing of lines of pipe, and any other causes, whether of the kind herein enumerated or otherwise, not at the time involved reasonably within the control of the Party claiming suspension; such term shall likewise include (i) in those instances where any Party hereto is required to obtain servitudes, right-of-way, grants, permits or licenses to enable such Party to fulfill its obligations hereunder, the inability of such Party to acquire, or the delays on the part of such Party in acquiring, at reasonable cost and after the exercise of reasonable diligence, such servitudes, right-of-way, grants, permits or licenses, and (ii) in those instances where any Party hereto is required to furnish materials and supplies for the purpose of constructing or maintaining facilities or is required to secure permits or permissions from any governmental agency to enable such Party to fulfill its obligations hereunder, the inability of such Party to acquire, or the delays on the part of such Party in acquiring, at reasonable cost and after the exercise of reasonable diligence, such materials and supplies, permits and permissions.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6.3</w:t>
        <w:tab/>
        <w:t>It is understood and agreed that the settlement of strikes or lockouts shall be entirely within the discretion of the Party having the difficulty, and the above requirement that any force majeure shall be remedied with all reasonable dispatch shall not require the settlement of strikes or lockouts by acceding to demands of the party or parties in opposition to the Party when such course is inadvisable in the discretion of the Party having the difficulty.</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7</w:t>
      </w:r>
    </w:p>
    <w:p>
      <w:pPr>
        <w:pStyle w:val="Normal"/>
        <w:keepNext w:val="true"/>
        <w:ind w:start="576" w:end="0"/>
        <w:jc w:val="center"/>
        <w:rPr>
          <w:rFonts w:ascii="Times New Roman" w:hAnsi="Times New Roman" w:cs="Times New Roman"/>
          <w:b/>
          <w:sz w:val="24"/>
        </w:rPr>
      </w:pPr>
      <w:r>
        <w:rPr>
          <w:rFonts w:cs="Times New Roman" w:ascii="Times New Roman" w:hAnsi="Times New Roman"/>
          <w:b/>
          <w:sz w:val="24"/>
          <w:u w:val="single"/>
        </w:rPr>
        <w:t>GOVERNMENTAL REGULATIONS, WAIVER AND SEVERABII,ITY</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7.1</w:t>
        <w:tab/>
        <w:t>This Agreement is subject to all present and future valid orders, rules and regulations of any federal or state regulatory body of competent jurisdiction.</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7.2</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REFERENCE TO THE CHOICE OF LAW PRINCIPLES THEREOF.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7.3</w:t>
        <w:tab/>
      </w:r>
      <w:r>
        <w:rPr>
          <w:rFonts w:cs="Times New Roman" w:ascii="Times New Roman" w:hAnsi="Times New Roman"/>
          <w:sz w:val="24"/>
          <w:u w:val="single"/>
        </w:rPr>
        <w:t>Waiver</w:t>
      </w:r>
      <w:r>
        <w:rPr>
          <w:rFonts w:cs="Times New Roman" w:ascii="Times New Roman" w:hAnsi="Times New Roman"/>
          <w:sz w:val="24"/>
        </w:rPr>
        <w:t>.  No waiver by a Party of any one or more defaults by the other Party in the performance of this Agreement shall operate or be construed as a waiver of any future default or defaults, whether of a like or different character.</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7.4</w:t>
        <w:tab/>
      </w:r>
      <w:r>
        <w:rPr>
          <w:rFonts w:cs="Times New Roman" w:ascii="Times New Roman" w:hAnsi="Times New Roman"/>
          <w:sz w:val="24"/>
          <w:u w:val="single"/>
        </w:rPr>
        <w:t>Severability</w:t>
      </w:r>
      <w:r>
        <w:rPr>
          <w:rFonts w:cs="Times New Roman" w:ascii="Times New Roman" w:hAnsi="Times New Roman"/>
          <w:sz w:val="24"/>
        </w:rPr>
        <w:t>.  Any provision of this Agreement that is prohibited or unenforceable in any jurisdiction shall, as to that jurisdiction, be ineffective to the extent of that prohibition or unenforceability without invalidating the remaining provisions hereof or affecting the validity or enforceability of that provision in any other jurisdiction.</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8</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MISCELLANEOUS</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8.1</w:t>
        <w:tab/>
      </w:r>
      <w:r>
        <w:rPr>
          <w:rFonts w:cs="Times New Roman" w:ascii="Times New Roman" w:hAnsi="Times New Roman"/>
          <w:sz w:val="24"/>
          <w:u w:val="single"/>
        </w:rPr>
        <w:t>Assignment of Interests</w:t>
      </w:r>
      <w:r>
        <w:rPr>
          <w:rFonts w:cs="Times New Roman" w:ascii="Times New Roman" w:hAnsi="Times New Roman"/>
          <w:sz w:val="24"/>
        </w:rPr>
        <w:t>.  This Agreement shall be binding upon and inure to the benefit of the Parties and their respective successors and assigns.  No Party shall be entitled to assign or otherwise transfer its rights, obligations, or interests hereunder (whether by security or otherwise) without the prior written consent of the other Party, which consent shall not be unreasonably withheld, except that a Party may assign or otherwise transfer such rights, obligations, or interests to an Affiliate of the Party on thirty (30) business days' prior written notice.  Any assignment or transfer in violation of this Paragraph shall be voidable at the discretion of the non-assigning Party.</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8.2</w:t>
        <w:tab/>
      </w:r>
      <w:r>
        <w:rPr>
          <w:rFonts w:cs="Times New Roman" w:ascii="Times New Roman" w:hAnsi="Times New Roman"/>
          <w:sz w:val="24"/>
          <w:u w:val="single"/>
        </w:rPr>
        <w:t>Confidentiality</w:t>
      </w:r>
      <w:r>
        <w:rPr>
          <w:rFonts w:cs="Times New Roman" w:ascii="Times New Roman" w:hAnsi="Times New Roman"/>
          <w:sz w:val="24"/>
        </w:rPr>
        <w:t>.  This Agreement shall be kept confidential by the Parties, and, with the exception of disclosure to either Party's Affiliates, or disclosure to potential successors-in-interest to the Interconnect Facilities or to either party's transmission facilities, or except as to shippers or gas purchasers having the contractual ability to purchase or transport gas from American Warrior utilizing the Interconnect Facilities but only such information as necessary to conduct such transactions, shall not be disclosed to third parties without prior written consent obtained from the non-disclosing party, which consent shall not be unreasonably withheld.  Disclosure is permitted and confidentiality not breached if disclosure is compelled in the course of legal proceedings or required by court or regulatory order.  If disclosure is compelled in the course of legal proceedings or by court or regulatory order, the Party subject to such order shall notify the other Party of the order so that the other Party may have an opportunity to protest such order of disclosure.</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8.3</w:t>
        <w:tab/>
      </w:r>
      <w:r>
        <w:rPr>
          <w:rFonts w:cs="Times New Roman" w:ascii="Times New Roman" w:hAnsi="Times New Roman"/>
          <w:sz w:val="24"/>
          <w:u w:val="single"/>
        </w:rPr>
        <w:t xml:space="preserve">Relationship to </w:t>
      </w:r>
      <w:r>
        <w:rPr>
          <w:rFonts w:cs="Times New Roman" w:ascii="Times New Roman" w:hAnsi="Times New Roman"/>
          <w:sz w:val="24"/>
        </w:rPr>
        <w:t>Parties.  This Agreement is not intended to create, and shall not be construed to create, a relationship of partnership or an association for profit between the Parties hereto.  The provisions of this Agreement shall not impart rights of enforceability to any person, firm or organization not a Party or not bound as a Party, or not permitted successor or assignee of a Party bound by this Agreement.</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8.4</w:t>
        <w:tab/>
      </w:r>
      <w:r>
        <w:rPr>
          <w:rFonts w:cs="Times New Roman" w:ascii="Times New Roman" w:hAnsi="Times New Roman"/>
          <w:sz w:val="24"/>
          <w:u w:val="single"/>
        </w:rPr>
        <w:t>Headings</w:t>
      </w:r>
      <w:r>
        <w:rPr>
          <w:rFonts w:cs="Times New Roman" w:ascii="Times New Roman" w:hAnsi="Times New Roman"/>
          <w:sz w:val="24"/>
        </w:rPr>
        <w:t>.  The descriptive headings of all Articles and Paragraphs of this Agreement are formulated and used for convenience only and shall not be deemed to affect the meaning or construction of any such Article or Paragraph.</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8.5</w:t>
        <w:tab/>
      </w:r>
      <w:r>
        <w:rPr>
          <w:rFonts w:cs="Times New Roman" w:ascii="Times New Roman" w:hAnsi="Times New Roman"/>
          <w:sz w:val="24"/>
          <w:u w:val="single"/>
        </w:rPr>
        <w:t>Notices</w:t>
      </w:r>
      <w:r>
        <w:rPr>
          <w:rFonts w:cs="Times New Roman" w:ascii="Times New Roman" w:hAnsi="Times New Roman"/>
          <w:sz w:val="24"/>
        </w:rPr>
        <w:t>.  Any notice, request or demand made pursuant to this Agreement shall be in writing and shall be directed to a Party at the address given below or to such other address as the Party may designate from time to time.  Notice sent personally shall be deemed to have been given upon written confirmation of receipt; notice transmitted by postage prepaid/registered mail shall be deemed to have been given on the date of receipt; notice by overnight mail or courier shall be deemed to have been received two business days after it was sent or such earlier time as is confirmed by the receiving Party; notice sent by facsimile shall be deemed to have been received by the close of the business day following the day on which it was transmitted or such earlier time as is confirmed by the receiving Party.  The Parties' addresses are:</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ind w:start="720" w:end="0"/>
              <w:jc w:val="both"/>
              <w:rPr>
                <w:rFonts w:ascii="Times New Roman" w:hAnsi="Times New Roman" w:cs="Times New Roman"/>
                <w:sz w:val="24"/>
              </w:rPr>
            </w:pPr>
            <w:r>
              <w:rPr>
                <w:rFonts w:cs="Times New Roman" w:ascii="Times New Roman" w:hAnsi="Times New Roman"/>
                <w:sz w:val="24"/>
              </w:rPr>
              <w:t>Administrative  Notices:</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American Warrior, Inc.</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2814 West Jones</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Garden City, Kansas 67846</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Attn: _________________</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Telephone:  _____________</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Telefax:  (620) 275-7464</w:t>
            </w:r>
          </w:p>
        </w:tc>
        <w:tc>
          <w:tcPr>
            <w:tcW w:w="4788" w:type="dxa"/>
            <w:tcBorders/>
          </w:tcPr>
          <w:p>
            <w:pPr>
              <w:pStyle w:val="Normal"/>
              <w:keepNext w:val="true"/>
              <w:ind w:start="252" w:end="0"/>
              <w:jc w:val="both"/>
              <w:rPr>
                <w:rFonts w:ascii="Times New Roman" w:hAnsi="Times New Roman" w:cs="Times New Roman"/>
                <w:sz w:val="24"/>
              </w:rPr>
            </w:pPr>
            <w:r>
              <w:rPr>
                <w:rFonts w:cs="Times New Roman" w:ascii="Times New Roman" w:hAnsi="Times New Roman"/>
                <w:sz w:val="24"/>
              </w:rPr>
              <w:t>Administrative and Operations Notices:</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Northern Natural Gas Company</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P. O. Box 1188</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Houston, Texas 77251-1188</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Attn.:  Market Services</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Telephone:  (713) 853-7637</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Telefax:  (713) 646-8000</w:t>
            </w:r>
          </w:p>
        </w:tc>
      </w:tr>
    </w:tbl>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8.6</w:t>
        <w:tab/>
      </w:r>
      <w:r>
        <w:rPr>
          <w:rFonts w:cs="Times New Roman" w:ascii="Times New Roman" w:hAnsi="Times New Roman"/>
          <w:sz w:val="24"/>
          <w:u w:val="single"/>
        </w:rPr>
        <w:t>Counterparts</w:t>
      </w:r>
      <w:r>
        <w:rPr>
          <w:rFonts w:cs="Times New Roman" w:ascii="Times New Roman" w:hAnsi="Times New Roman"/>
          <w:sz w:val="24"/>
        </w:rPr>
        <w:t>.  This Agreement may be executed in counterparts, each of which shall be deemed an original, but all of which together shall constitute one and the same instrument.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8.7</w:t>
        <w:tab/>
      </w:r>
      <w:r>
        <w:rPr>
          <w:rFonts w:cs="Times New Roman" w:ascii="Times New Roman" w:hAnsi="Times New Roman"/>
          <w:sz w:val="24"/>
          <w:u w:val="single"/>
        </w:rPr>
        <w:t>Entire Agreement</w:t>
      </w:r>
      <w:r>
        <w:rPr>
          <w:rFonts w:cs="Times New Roman" w:ascii="Times New Roman" w:hAnsi="Times New Roman"/>
          <w:sz w:val="24"/>
        </w:rPr>
        <w:t>.  This Agreement and Exhibits hereto, if any, constitute the entire agreement between Northern and American Warrior pertaining to the subject matter hereof.  In the event of a conflict between a provision of this Agreement and a provision of a prior agreement, representation or understanding of the Parties, oral or written, the provision of this Agreement shall control without invalidating the remaining provisions of such prior agreement, representation or understanding.</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executed this Agreement as of the date first written above.</w:t>
      </w:r>
    </w:p>
    <w:p>
      <w:pPr>
        <w:pStyle w:val="Normal"/>
        <w:ind w:end="-1440"/>
        <w:jc w:val="both"/>
        <w:rPr>
          <w:rFonts w:ascii="Times New Roman" w:hAnsi="Times New Roman" w:cs="Times New Roman"/>
          <w:sz w:val="24"/>
        </w:rPr>
      </w:pPr>
      <w:r>
        <w:rPr>
          <w:rFonts w:cs="Times New Roman" w:ascii="Times New Roman" w:hAnsi="Times New Roman"/>
          <w:sz w:val="24"/>
        </w:rPr>
      </w:r>
    </w:p>
    <w:tbl>
      <w:tblPr>
        <w:tblW w:w="9576" w:type="dxa"/>
        <w:jc w:val="start"/>
        <w:tblInd w:w="0" w:type="dxa"/>
        <w:tblLayout w:type="fixed"/>
        <w:tblCellMar>
          <w:top w:w="0" w:type="dxa"/>
          <w:start w:w="108" w:type="dxa"/>
          <w:bottom w:w="0" w:type="dxa"/>
          <w:end w:w="108" w:type="dxa"/>
        </w:tblCellMar>
      </w:tblPr>
      <w:tblGrid>
        <w:gridCol w:w="4338"/>
        <w:gridCol w:w="720"/>
        <w:gridCol w:w="4518"/>
      </w:tblGrid>
      <w:tr>
        <w:trPr/>
        <w:tc>
          <w:tcPr>
            <w:tcW w:w="4338" w:type="dxa"/>
            <w:tcBorders/>
          </w:tcPr>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t>"Northern"</w:t>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t>Northern Natural Gas Company</w:t>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b/>
                <w:sz w:val="24"/>
              </w:rPr>
            </w:pPr>
            <w:r>
              <w:rPr>
                <w:rFonts w:cs="Times New Roman" w:ascii="Times New Roman" w:hAnsi="Times New Roman"/>
                <w:b/>
                <w:sz w:val="24"/>
              </w:rPr>
            </w:r>
          </w:p>
        </w:tc>
        <w:tc>
          <w:tcPr>
            <w:tcW w:w="720" w:type="dxa"/>
            <w:tcBorders/>
          </w:tcPr>
          <w:p>
            <w:pPr>
              <w:pStyle w:val="Normal"/>
              <w:snapToGrid w:val="false"/>
              <w:jc w:val="both"/>
              <w:rPr>
                <w:rFonts w:ascii="Times New Roman" w:hAnsi="Times New Roman" w:cs="Times New Roman"/>
                <w:sz w:val="24"/>
              </w:rPr>
            </w:pPr>
            <w:r>
              <w:rPr>
                <w:rFonts w:cs="Times New Roman" w:ascii="Times New Roman" w:hAnsi="Times New Roman"/>
                <w:sz w:val="24"/>
              </w:rPr>
            </w:r>
          </w:p>
        </w:tc>
        <w:tc>
          <w:tcPr>
            <w:tcW w:w="4518" w:type="dxa"/>
            <w:tcBorders/>
          </w:tcPr>
          <w:p>
            <w:pPr>
              <w:pStyle w:val="Normal"/>
              <w:jc w:val="center"/>
              <w:rPr>
                <w:rFonts w:ascii="Times New Roman" w:hAnsi="Times New Roman" w:cs="Times New Roman"/>
                <w:b/>
                <w:sz w:val="24"/>
              </w:rPr>
            </w:pPr>
            <w:r>
              <w:rPr>
                <w:rFonts w:cs="Times New Roman" w:ascii="Times New Roman" w:hAnsi="Times New Roman"/>
                <w:b/>
                <w:sz w:val="24"/>
              </w:rPr>
              <w:t>“</w:t>
            </w:r>
            <w:r>
              <w:rPr>
                <w:rFonts w:cs="Times New Roman" w:ascii="Times New Roman" w:hAnsi="Times New Roman"/>
                <w:b/>
                <w:sz w:val="24"/>
              </w:rPr>
              <w:t>American Warrior”</w:t>
            </w:r>
          </w:p>
          <w:p>
            <w:pPr>
              <w:pStyle w:val="Normal"/>
              <w:jc w:val="center"/>
              <w:rPr>
                <w:rFonts w:ascii="Times New Roman" w:hAnsi="Times New Roman" w:cs="Times New Roman"/>
                <w:b/>
                <w:sz w:val="24"/>
              </w:rPr>
            </w:pPr>
            <w:r>
              <w:rPr>
                <w:rFonts w:cs="Times New Roman" w:ascii="Times New Roman" w:hAnsi="Times New Roman"/>
                <w:b/>
                <w:sz w:val="24"/>
              </w:rPr>
              <w:t>American Warrior, Inc.</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r>
          </w:p>
        </w:tc>
      </w:tr>
      <w:tr>
        <w:trPr/>
        <w:tc>
          <w:tcPr>
            <w:tcW w:w="4338" w:type="dxa"/>
            <w:tcBorders/>
          </w:tcPr>
          <w:p>
            <w:pPr>
              <w:pStyle w:val="Normal"/>
              <w:jc w:val="both"/>
              <w:rPr>
                <w:rFonts w:ascii="Times New Roman" w:hAnsi="Times New Roman" w:cs="Times New Roman"/>
                <w:sz w:val="24"/>
              </w:rPr>
            </w:pPr>
            <w:r>
              <w:rPr>
                <w:rFonts w:cs="Times New Roman" w:ascii="Times New Roman" w:hAnsi="Times New Roman"/>
                <w:sz w:val="24"/>
              </w:rPr>
              <w:t>By:_______________________________</w:t>
            </w:r>
          </w:p>
          <w:p>
            <w:pPr>
              <w:pStyle w:val="Normal"/>
              <w:ind w:end="-1440"/>
              <w:jc w:val="both"/>
              <w:rPr>
                <w:rFonts w:ascii="Times New Roman" w:hAnsi="Times New Roman" w:cs="Times New Roman"/>
                <w:sz w:val="24"/>
              </w:rPr>
            </w:pPr>
            <w:r>
              <w:rPr>
                <w:rFonts w:cs="Times New Roman" w:ascii="Times New Roman" w:hAnsi="Times New Roman"/>
                <w:sz w:val="24"/>
              </w:rPr>
              <w:t>Printed Name:______________________</w:t>
            </w:r>
          </w:p>
          <w:p>
            <w:pPr>
              <w:pStyle w:val="Normal"/>
              <w:ind w:end="-1440"/>
              <w:jc w:val="both"/>
              <w:rPr>
                <w:rFonts w:ascii="Times New Roman" w:hAnsi="Times New Roman" w:cs="Times New Roman"/>
                <w:sz w:val="24"/>
              </w:rPr>
            </w:pPr>
            <w:r>
              <w:rPr>
                <w:rFonts w:cs="Times New Roman" w:ascii="Times New Roman" w:hAnsi="Times New Roman"/>
                <w:sz w:val="24"/>
              </w:rPr>
              <w:t>Title:______________________________</w:t>
            </w:r>
          </w:p>
          <w:p>
            <w:pPr>
              <w:pStyle w:val="Normal"/>
              <w:jc w:val="both"/>
              <w:rPr>
                <w:rFonts w:ascii="Times New Roman" w:hAnsi="Times New Roman" w:cs="Times New Roman"/>
                <w:sz w:val="24"/>
              </w:rPr>
            </w:pPr>
            <w:r>
              <w:rPr>
                <w:rFonts w:cs="Times New Roman" w:ascii="Times New Roman" w:hAnsi="Times New Roman"/>
                <w:sz w:val="24"/>
              </w:rPr>
            </w:r>
          </w:p>
        </w:tc>
        <w:tc>
          <w:tcPr>
            <w:tcW w:w="720" w:type="dxa"/>
            <w:tcBorders/>
          </w:tcPr>
          <w:p>
            <w:pPr>
              <w:pStyle w:val="Normal"/>
              <w:snapToGrid w:val="false"/>
              <w:jc w:val="both"/>
              <w:rPr>
                <w:rFonts w:ascii="Times New Roman" w:hAnsi="Times New Roman" w:cs="Times New Roman"/>
                <w:sz w:val="24"/>
              </w:rPr>
            </w:pPr>
            <w:r>
              <w:rPr>
                <w:rFonts w:cs="Times New Roman" w:ascii="Times New Roman" w:hAnsi="Times New Roman"/>
                <w:sz w:val="24"/>
              </w:rPr>
            </w:r>
          </w:p>
        </w:tc>
        <w:tc>
          <w:tcPr>
            <w:tcW w:w="4518" w:type="dxa"/>
            <w:tcBorders/>
          </w:tcPr>
          <w:p>
            <w:pPr>
              <w:pStyle w:val="Normal"/>
              <w:jc w:val="both"/>
              <w:rPr>
                <w:rFonts w:ascii="Times New Roman" w:hAnsi="Times New Roman" w:cs="Times New Roman"/>
                <w:sz w:val="24"/>
              </w:rPr>
            </w:pPr>
            <w:r>
              <w:rPr>
                <w:rFonts w:cs="Times New Roman" w:ascii="Times New Roman" w:hAnsi="Times New Roman"/>
                <w:sz w:val="24"/>
              </w:rPr>
              <w:t>By:_______________________________</w:t>
            </w:r>
          </w:p>
          <w:p>
            <w:pPr>
              <w:pStyle w:val="Normal"/>
              <w:ind w:end="-1440"/>
              <w:jc w:val="both"/>
              <w:rPr>
                <w:rFonts w:ascii="Times New Roman" w:hAnsi="Times New Roman" w:cs="Times New Roman"/>
                <w:sz w:val="24"/>
              </w:rPr>
            </w:pPr>
            <w:r>
              <w:rPr>
                <w:rFonts w:cs="Times New Roman" w:ascii="Times New Roman" w:hAnsi="Times New Roman"/>
                <w:sz w:val="24"/>
              </w:rPr>
              <w:t>Printed Name:______________________</w:t>
            </w:r>
          </w:p>
          <w:p>
            <w:pPr>
              <w:pStyle w:val="Normal"/>
              <w:ind w:end="-1440"/>
              <w:jc w:val="both"/>
              <w:rPr>
                <w:rFonts w:ascii="Times New Roman" w:hAnsi="Times New Roman" w:cs="Times New Roman"/>
                <w:sz w:val="24"/>
              </w:rPr>
            </w:pPr>
            <w:r>
              <w:rPr>
                <w:rFonts w:cs="Times New Roman" w:ascii="Times New Roman" w:hAnsi="Times New Roman"/>
                <w:sz w:val="24"/>
              </w:rPr>
              <w:t>Title:______________________________</w:t>
            </w:r>
          </w:p>
          <w:p>
            <w:pPr>
              <w:pStyle w:val="Normal"/>
              <w:jc w:val="both"/>
              <w:rPr>
                <w:rFonts w:ascii="Times New Roman" w:hAnsi="Times New Roman" w:cs="Times New Roman"/>
                <w:sz w:val="24"/>
              </w:rPr>
            </w:pPr>
            <w:r>
              <w:rPr>
                <w:rFonts w:cs="Times New Roman" w:ascii="Times New Roman" w:hAnsi="Times New Roman"/>
                <w:sz w:val="24"/>
              </w:rPr>
            </w:r>
          </w:p>
        </w:tc>
      </w:tr>
    </w:tbl>
    <w:p>
      <w:pPr>
        <w:pStyle w:val="Normal"/>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8640" w:leader="none"/>
      </w:tabs>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/mnt/main-storage/datasets/enron-docs/doc/American_Warrier_NNG_I_O_Agr_v1.doc</w:t>
    </w:r>
    <w:r>
      <w:rPr>
        <w:sz w:val="12"/>
        <w:rFonts w:cs="Times New Roman" w:ascii="Times New Roman" w:hAnsi="Times New Roman"/>
      </w:rPr>
      <w:fldChar w:fldCharType="end"/>
    </w:r>
  </w:p>
  <w:p>
    <w:pPr>
      <w:pStyle w:val="Header"/>
      <w:tabs>
        <w:tab w:val="clear" w:pos="4320"/>
        <w:tab w:val="center" w:pos="4680" w:leader="none"/>
        <w:tab w:val="right" w:pos="8640" w:leader="none"/>
      </w:tabs>
      <w:rPr/>
    </w:pPr>
    <w:r>
      <w:rPr>
        <w:rFonts w:cs="Times New Roman" w:ascii="Times New Roman" w:hAnsi="Times New Roman"/>
        <w:sz w:val="12"/>
      </w:rPr>
      <w:fldChar w:fldCharType="begin"/>
    </w:r>
    <w:r>
      <w:rPr>
        <w:sz w:val="12"/>
        <w:rFonts w:cs="Times New Roman" w:ascii="Times New Roman" w:hAnsi="Times New Roman"/>
      </w:rPr>
      <w:instrText xml:space="preserve"> DATE \@"MM\/dd\/yy" </w:instrText>
    </w:r>
    <w:r>
      <w:rPr>
        <w:sz w:val="12"/>
        <w:rFonts w:cs="Times New Roman" w:ascii="Times New Roman" w:hAnsi="Times New Roman"/>
      </w:rPr>
      <w:fldChar w:fldCharType="separate"/>
    </w:r>
    <w:r>
      <w:rPr>
        <w:sz w:val="12"/>
        <w:rFonts w:cs="Times New Roman" w:ascii="Times New Roman" w:hAnsi="Times New Roman"/>
      </w:rPr>
      <w:t>09/28/25</w:t>
    </w:r>
    <w:r>
      <w:rPr>
        <w:sz w:val="12"/>
        <w:rFonts w:cs="Times New Roman" w:ascii="Times New Roman" w:hAnsi="Times New Roman"/>
      </w:rPr>
      <w:fldChar w:fldCharType="end"/>
    </w:r>
    <w:r>
      <w:rPr>
        <w:rFonts w:cs="Times New Roman" w:ascii="Times New Roman" w:hAnsi="Times New Roman"/>
        <w:sz w:val="18"/>
      </w:rPr>
      <w:tab/>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7</w:t>
    </w:r>
    <w:r>
      <w:rPr>
        <w:rStyle w:val="PageNumbe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4"/>
        <w:u w:val="single"/>
      </w:rPr>
    </w:pPr>
    <w:r>
      <w:rPr>
        <w:b/>
        <w:i/>
        <w:sz w:val="24"/>
        <w:u w:val="single"/>
      </w:rPr>
      <w:t>DRAFT 6/18/01</w:t>
    </w:r>
  </w:p>
</w:hdr>
</file>

<file path=word/settings.xml><?xml version="1.0" encoding="utf-8"?>
<w:settings xmlns:w="http://schemas.openxmlformats.org/wordprocessingml/2006/main">
  <w:zoom w:percent="9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2001-06-19T12:25:00Z</dcterms:created>
  <dc:creator>Jennie Ruth Waynick</dc:creator>
  <dc:description/>
  <dc:language>en-CA</dc:language>
  <cp:lastModifiedBy>dlagesse</cp:lastModifiedBy>
  <cp:lastPrinted>2001-04-12T16:53:00Z</cp:lastPrinted>
  <dcterms:modified xsi:type="dcterms:W3CDTF">2001-06-19T12:48:00Z</dcterms:modified>
  <cp:revision>5</cp:revision>
  <dc:subject/>
  <dc:title>INTERCONNECT AND OPERATING AGREEMENT</dc:title>
</cp:coreProperties>
</file>