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Response Letter to AcSEC Exposure Draft on Proposed Statement of Position – Accounting for Certain Costs and Activities Related to Property, Plant, and Equipment (Dated June 29, 2001) </w:t>
      </w:r>
    </w:p>
    <w:p>
      <w:pPr>
        <w:pStyle w:val="Normal"/>
        <w:rPr/>
      </w:pPr>
      <w:r>
        <w:rPr/>
        <w:t xml:space="preserve">Contact: Joe Martin </w:t>
      </w:r>
    </w:p>
    <w:p>
      <w:pPr>
        <w:pStyle w:val="Normal"/>
        <w:rPr/>
      </w:pPr>
      <w:r>
        <w:rPr/>
      </w:r>
    </w:p>
    <w:p>
      <w:pPr>
        <w:pStyle w:val="Normal"/>
        <w:rPr/>
      </w:pPr>
      <w:r>
        <w:rPr/>
      </w:r>
    </w:p>
    <w:p>
      <w:pPr>
        <w:pStyle w:val="Normal"/>
        <w:rPr/>
      </w:pPr>
      <w:r>
        <w:rPr/>
      </w:r>
    </w:p>
    <w:p>
      <w:pPr>
        <w:pStyle w:val="Normal"/>
        <w:rPr/>
      </w:pPr>
      <w:r>
        <w:rPr/>
        <w:t xml:space="preserve">November 15, 2001 </w:t>
      </w:r>
    </w:p>
    <w:p>
      <w:pPr>
        <w:pStyle w:val="Normal"/>
        <w:rPr/>
      </w:pPr>
      <w:r>
        <w:rPr/>
      </w:r>
    </w:p>
    <w:p>
      <w:pPr>
        <w:pStyle w:val="Normal"/>
        <w:rPr/>
      </w:pPr>
      <w:r>
        <w:rPr/>
        <w:t>Marc Simon, Technical Manager, Accounting Standards, File 4210.CC</w:t>
      </w:r>
    </w:p>
    <w:p>
      <w:pPr>
        <w:pStyle w:val="Normal"/>
        <w:rPr/>
      </w:pPr>
      <w:r>
        <w:rPr/>
        <w:t>AICPA</w:t>
      </w:r>
    </w:p>
    <w:p>
      <w:pPr>
        <w:pStyle w:val="Normal"/>
        <w:rPr/>
      </w:pPr>
      <w:r>
        <w:rPr/>
        <w:t>1211 Avenue of the Americas</w:t>
      </w:r>
    </w:p>
    <w:p>
      <w:pPr>
        <w:pStyle w:val="Normal"/>
        <w:rPr/>
      </w:pPr>
      <w:r>
        <w:rPr/>
        <w:t>New York, NY  10036-8775</w:t>
      </w:r>
    </w:p>
    <w:p>
      <w:pPr>
        <w:pStyle w:val="Normal"/>
        <w:rPr/>
      </w:pPr>
      <w:r>
        <w:rPr/>
      </w:r>
    </w:p>
    <w:p>
      <w:pPr>
        <w:pStyle w:val="Normal"/>
        <w:rPr/>
      </w:pPr>
      <w:r>
        <w:rPr/>
        <w:t xml:space="preserve">Dear Sir: </w:t>
      </w:r>
    </w:p>
    <w:p>
      <w:pPr>
        <w:pStyle w:val="Normal"/>
        <w:rPr/>
      </w:pPr>
      <w:r>
        <w:rPr/>
      </w:r>
    </w:p>
    <w:p>
      <w:pPr>
        <w:pStyle w:val="Normal"/>
        <w:rPr/>
      </w:pPr>
      <w:r>
        <w:rPr/>
        <w:t>The American Gas Association (AGA) is pleased to submit its comments concerning the Exposure Draft of the Proposed Statement of Position (Proposed SOP or Exposure Draft), "Accounting for Certain Costs and Activities Related to Property, Plant, and Equipment." The AGA represents 189 local natural gas utilities that deliver natural gas to almost 60 million homes and businesses in all 50 states. Additionally, the AGA provides services to member natural gas pipelines, marketers, gatherers, international gas companies and a variety of industry associates.  Due to the regulated nature and the unique aspects of accounting encountered in the natural gas industry, the AGA has significant concerns with the aspects of the Proposed Statement of Position involving component method accounting and expensing general and administrative overheads, early-stage project costs, and the net book value of retirements related to replacements.</w:t>
      </w:r>
    </w:p>
    <w:p>
      <w:pPr>
        <w:pStyle w:val="Normal"/>
        <w:rPr/>
      </w:pPr>
      <w:r>
        <w:rPr/>
      </w:r>
    </w:p>
    <w:p>
      <w:pPr>
        <w:pStyle w:val="Normal"/>
        <w:rPr/>
      </w:pPr>
      <w:r>
        <w:rPr/>
        <w:t xml:space="preserve">The AGA’s comments are discussed below for the Committee’s consideration. </w:t>
      </w:r>
    </w:p>
    <w:p>
      <w:pPr>
        <w:pStyle w:val="Normal"/>
        <w:rPr/>
      </w:pPr>
      <w:r>
        <w:rPr/>
      </w:r>
    </w:p>
    <w:p>
      <w:pPr>
        <w:pStyle w:val="Heading1"/>
        <w:ind w:hanging="0" w:start="0"/>
        <w:rPr/>
      </w:pPr>
      <w:r>
        <w:rPr/>
        <w:t>Rate Regulation</w:t>
      </w:r>
    </w:p>
    <w:p>
      <w:pPr>
        <w:pStyle w:val="Normal"/>
        <w:rPr/>
      </w:pPr>
      <w:r>
        <w:rPr/>
        <w:t xml:space="preserve">  </w:t>
      </w:r>
    </w:p>
    <w:p>
      <w:pPr>
        <w:pStyle w:val="Normal"/>
        <w:rPr/>
      </w:pPr>
      <w:r>
        <w:rPr/>
        <w:t>Many of the AGA members account for their rate-regulated operations by applying SFAS No. 71, “Accounting for the Effects of Certain Types of Regulation.”  Under SFAS No. 71, a rate-regulated entity records a regulatory asset or liability when the recovery of a particular cost through revenues occurs after or before the cost is incurred, respectively.  The regulatory asset or liability is recognized in earnings when the corresponding revenues or costs are recognized in earnings.  The impacts of this Proposed SOP will create significant differences in the recognition of costs for GAAP purposes versus the recovery of those costs under rate-regulation, assuming no changes in regulatory requirements.  The differences will result in the maintenance of two sets of books, additional reconciliation effort, and added confusion for the financial statement users.</w:t>
      </w:r>
    </w:p>
    <w:p>
      <w:pPr>
        <w:pStyle w:val="Normal"/>
        <w:rPr/>
      </w:pPr>
      <w:r>
        <w:rPr/>
        <w:t xml:space="preserve">  </w:t>
      </w:r>
    </w:p>
    <w:p>
      <w:pPr>
        <w:pStyle w:val="Normal"/>
        <w:rPr/>
      </w:pPr>
      <w:r>
        <w:rPr/>
        <w:t xml:space="preserve">A major tenet of the regulatory rate-making framework is the allowance for a return on investment.  The return is calculated from a formula that applies a measure of an entity’s cost of capital to its rate base.  For deferred assets created regarding amounts currently capitalized as property, plant, and equipment but expensed per the Proposed SOP, a reduction in an entity’s return on investment may occur because deferred assets are not normally included in rate base during rate proceedings. </w:t>
      </w:r>
    </w:p>
    <w:p>
      <w:pPr>
        <w:pStyle w:val="Normal"/>
        <w:rPr/>
      </w:pPr>
      <w:r>
        <w:rPr/>
      </w:r>
    </w:p>
    <w:p>
      <w:pPr>
        <w:pStyle w:val="Heading1"/>
        <w:ind w:hanging="0" w:start="0"/>
        <w:rPr/>
      </w:pPr>
      <w:r>
        <w:rPr/>
        <w:t>Project Stage Framework</w:t>
      </w:r>
    </w:p>
    <w:p>
      <w:pPr>
        <w:pStyle w:val="Heading1"/>
        <w:ind w:hanging="0" w:start="0"/>
        <w:rPr/>
      </w:pPr>
      <w:r>
        <w:rPr/>
      </w:r>
    </w:p>
    <w:p>
      <w:pPr>
        <w:pStyle w:val="Normal"/>
        <w:rPr/>
      </w:pPr>
      <w:r>
        <w:rPr/>
        <w:t>The AGA recommends that the preliminary stage of the project stage framework be consolidated with the preacquisition stage so that costs incurred during the preacquisition stage are evaluated for capitalization based on the character, rather than the timing, of the costs.  The project stage framework as recommended by the AGA would contain three stages, rather than four as described in the Exposure Draft, eliminating the subjective measure of probability that marks the end of the preliminary stage and beginning of the preacquisition stage.</w:t>
      </w:r>
    </w:p>
    <w:p>
      <w:pPr>
        <w:pStyle w:val="Heading1"/>
        <w:ind w:hanging="0" w:start="0"/>
        <w:rPr/>
      </w:pPr>
      <w:r>
        <w:rPr/>
      </w:r>
    </w:p>
    <w:p>
      <w:pPr>
        <w:pStyle w:val="Normal"/>
        <w:rPr/>
      </w:pPr>
      <w:r>
        <w:rPr/>
        <w:t xml:space="preserve">Some of the costs incurred during the early stages of projects are material to the related projects and operations of the companies within the natural gas industry.  The character of these costs implies that they are capital in nature, meet the definition of assets as described in Statement of Financial Accounting Concepts (SFAC) No. 6, “Elements of Financial Statements,” and are capitalized under regulatory accounting guidance.  For example, engineering studies and environmental compliance reviews performed during the preliminary stage of pipeline expansion projects provide future economic benefits in that they are part of the framework upon which the projects are completed and are capitalized by rate-regulated entities. The result of accounting for costs differently between books based on regulatory accounting and GAAP accounting as described in the Proposed SOP, assuming no changes in regulatory requirements, creates significant additional effort in the maintenance of two sets of books and adds confusion on the part of those who use the published financial statements.  </w:t>
      </w:r>
    </w:p>
    <w:p>
      <w:pPr>
        <w:pStyle w:val="Normal"/>
        <w:rPr/>
      </w:pPr>
      <w:r>
        <w:rPr/>
      </w:r>
    </w:p>
    <w:p>
      <w:pPr>
        <w:pStyle w:val="Normal"/>
        <w:rPr/>
      </w:pPr>
      <w:r>
        <w:rPr/>
        <w:t>The interjection of the concept of probability into the criteria for determining whether or not to capitalize specific costs will add a layer of subjectivity to capitalization decisions.  Under the Proposed SOP, capitalization decisions will be made for millions of items annually based not only on the character of the items, but on the timing of the costs related to the items.  Costs having similar characteristics will be treated differently based on timing rather than the characteristics of the costs as they relate to the definition of assets per SFAC No. 6.  Additionally, the element of timing will add confusion to employees outside of the accounting areas who code many of the originating documents for capital projects and operation and maintenance expenses.  For example, timesheets and accounts payable vouchers are often completed by operating personnel at remote locations.</w:t>
      </w:r>
    </w:p>
    <w:p>
      <w:pPr>
        <w:pStyle w:val="Normal"/>
        <w:rPr/>
      </w:pPr>
      <w:r>
        <w:rPr/>
      </w:r>
    </w:p>
    <w:p>
      <w:pPr>
        <w:pStyle w:val="Heading1"/>
        <w:ind w:hanging="0" w:start="0"/>
        <w:rPr/>
      </w:pPr>
      <w:r>
        <w:rPr/>
        <w:t>Component Method Accounting</w:t>
      </w:r>
    </w:p>
    <w:p>
      <w:pPr>
        <w:pStyle w:val="Normal"/>
        <w:rPr/>
      </w:pPr>
      <w:r>
        <w:rPr/>
      </w:r>
    </w:p>
    <w:p>
      <w:pPr>
        <w:pStyle w:val="Normal"/>
        <w:rPr/>
      </w:pPr>
      <w:r>
        <w:rPr/>
        <w:t>The AGA strongly disagrees with component method accounting as described in the Exposure Draft.  In light of the significant investments required to manage the details of component method accounting and the decoupling of the depreciation methods required by regulatory accounting and GAAP, the AGA recommends that AcSEC exclude rate-regulated entities from the scope of the Proposed SOP as it relates to component method accounting.</w:t>
      </w:r>
    </w:p>
    <w:p>
      <w:pPr>
        <w:pStyle w:val="Normal"/>
        <w:rPr/>
      </w:pPr>
      <w:r>
        <w:rPr/>
      </w:r>
    </w:p>
    <w:p>
      <w:pPr>
        <w:pStyle w:val="Normal"/>
        <w:rPr/>
      </w:pPr>
      <w:r>
        <w:rPr/>
        <w:t>In applying composite method accounting to an entity’s fixed assets, the original cost of an asset that is replaced is charged to the accumulated depreciation reserve thus maintaining rate base at its level of investment.  The Proposed SOP would require a charge to depreciation expense for the net book value of property, plant, and equipment being replaced.  The charge to depreciation expense may reduce rate base and preclude a full return on investment in some cases.  Although the effects of the charge to depreciation expense may be offset by the creation of a regulatory asset, uncertainties would exist as to whether or not the regulatory asset would be allowed as a component of rate base in future rate proceedings.</w:t>
      </w:r>
    </w:p>
    <w:p>
      <w:pPr>
        <w:pStyle w:val="Normal"/>
        <w:rPr/>
      </w:pPr>
      <w:r>
        <w:rPr/>
      </w:r>
    </w:p>
    <w:p>
      <w:pPr>
        <w:pStyle w:val="Normal"/>
        <w:rPr/>
      </w:pPr>
      <w:r>
        <w:rPr/>
        <w:t xml:space="preserve">In addition to the impact on return on investment, compliance with the Proposed SOP </w:t>
      </w:r>
    </w:p>
    <w:p>
      <w:pPr>
        <w:pStyle w:val="Normal"/>
        <w:rPr/>
      </w:pPr>
      <w:r>
        <w:rPr/>
        <w:t>will require significant investment without a corresponding benefit.  The costs associated with the increased level of detail required to maintain components and calculate depreciation at a component level will greatly outweigh any potential gains.  Significant investments in computer systems and staffing levels will be necessary to capture and maintain the data required by the Proposed SOP.  Moreover, the AGA believes that the financial results of applying the Proposed SOP will not be materially different from that generated using the currently accepted methods employed by rate-regulated entities today.</w:t>
      </w:r>
    </w:p>
    <w:p>
      <w:pPr>
        <w:pStyle w:val="Normal"/>
        <w:rPr/>
      </w:pPr>
      <w:r>
        <w:rPr/>
        <w:t xml:space="preserve"> </w:t>
      </w:r>
    </w:p>
    <w:p>
      <w:pPr>
        <w:pStyle w:val="Normal"/>
        <w:rPr/>
      </w:pPr>
      <w:r>
        <w:rPr/>
        <w:t xml:space="preserve">The “retirement unit” is the utility industry’s closest parallel to the concept of a component.  However, retirement units allow for the aggregation of assets based on similar characteristics (for example, valves), rather than the separation of assets based on useful lives.  Retirement units are rolled-up by type into plant accounts and depreciated based on composite method rates.  For natural gas industry entities, the number of assets in a single depreciable group can amount to over a million items.  </w:t>
      </w:r>
    </w:p>
    <w:p>
      <w:pPr>
        <w:pStyle w:val="Normal"/>
        <w:rPr/>
      </w:pPr>
      <w:r>
        <w:rPr/>
      </w:r>
    </w:p>
    <w:p>
      <w:pPr>
        <w:pStyle w:val="Normal"/>
        <w:rPr/>
      </w:pPr>
      <w:r>
        <w:rPr/>
        <w:t>Rates charged to customers by the rate-regulated natural gas industry entities are generally developed using a cost-based rate-making methodology that includes depreciation based on the composite method.  The composite method depreciation rates are derived from widely accepted statistically based book depreciation studies that identify average service lives, retirement dispersion, and net salvage.  These studies also test the adequacy of the accumulated depreciation reserve.  In the application of component method accounting, if an asset remains in service for a period that is longer than its estimated useful life, depreciation is front-loaded with little or no depreciation recorded in the years beyond the original expected useful life.  The composite method contemplates the useful lives of all assets in service, resulting in depreciation estimates that match the productive capabilities of the assets in service.</w:t>
      </w:r>
    </w:p>
    <w:p>
      <w:pPr>
        <w:pStyle w:val="Normal"/>
        <w:rPr/>
      </w:pPr>
      <w:r>
        <w:rPr/>
      </w:r>
    </w:p>
    <w:p>
      <w:pPr>
        <w:pStyle w:val="Normal"/>
        <w:rPr/>
      </w:pPr>
      <w:r>
        <w:rPr/>
        <w:t>If rate-regulated entities maintain regulatory books based on the composite method but employ the component method for GAAP reporting purposes, assuming no changes in regulatory requirements, two sets of books will be maintained by each entity.  For those entities following SFAS No. 71, significant effort will be required to record and track regulatory assets and liabilities where depreciation derived using the proposed component method differs from the recovery of composite method depreciation expense in rates.  The results of operations will be similar under either method, because the impacts of capitalization and depreciation differences will be removed via the use of regulatory assets and liabilities.  Any added balance sheet activity resulting from changes in regulated assets and liabilities will add confusion for the financial statement user.</w:t>
      </w:r>
    </w:p>
    <w:p>
      <w:pPr>
        <w:pStyle w:val="Normal"/>
        <w:rPr/>
      </w:pPr>
      <w:r>
        <w:rPr/>
      </w:r>
    </w:p>
    <w:p>
      <w:pPr>
        <w:pStyle w:val="Normal"/>
        <w:rPr/>
      </w:pPr>
      <w:r>
        <w:rPr/>
        <w:t xml:space="preserve">The natural gas industry is a highly capital-intensive industry.  Companies in the rate-regulated natural gas distribution and pipeline transportation segments of the natural gas industry alone incurred $10.8 billion in capital expenditures during 1999.  Assuming that capital expenditures are a proxy for depreciation and that the average depreciation rate for the assets in these two segments is 2.75%, an estimate of the amount of fixed assets affected by the Proposed SOP for these two segments alone can be extrapolated, amounting to approximately $400 billion.  If the average component costs $5,000, the Proposed SOP would require detailed accounting records for approximately 80 million components.  On an annual basis, additional detailed records would be created for an estimated 2.2 million new components.  The average industry participant would maintain detailed accounting records for hundreds of thousands of components, while larger firms would have millions of components to manage.    </w:t>
      </w:r>
    </w:p>
    <w:p>
      <w:pPr>
        <w:pStyle w:val="Normal"/>
        <w:rPr/>
      </w:pPr>
      <w:r>
        <w:rPr/>
      </w:r>
    </w:p>
    <w:p>
      <w:pPr>
        <w:pStyle w:val="Normal"/>
        <w:rPr/>
      </w:pPr>
      <w:r>
        <w:rPr/>
        <w:t>Paragraph A-48 of the Proposed SOP provides for the use of alternative methods of depreciation, but only if the result is not materially different from that provided by the use of the component method.  While the Exposure Draft acknowledges that other methods of depreciation are acceptable, the required test involves the application of component method accounting to establish a benchmark.  The substantial amount of effort required in establishing the benchmark (i.e. applying component method accounting) discourages the use of any alternative method.  Assuming the test would have to be performed on a regular basis, the required effort and associated costs would strongly discourage the use of alternative methods.</w:t>
      </w:r>
    </w:p>
    <w:p>
      <w:pPr>
        <w:pStyle w:val="Normal"/>
        <w:rPr/>
      </w:pPr>
      <w:r>
        <w:rPr/>
      </w:r>
    </w:p>
    <w:p>
      <w:pPr>
        <w:pStyle w:val="Heading1"/>
        <w:ind w:hanging="0" w:start="0"/>
        <w:rPr/>
      </w:pPr>
      <w:r>
        <w:rPr/>
        <w:t>Accounting for Costs Incurred - Overhead</w:t>
      </w:r>
    </w:p>
    <w:p>
      <w:pPr>
        <w:pStyle w:val="Normal"/>
        <w:rPr/>
      </w:pPr>
      <w:r>
        <w:rPr/>
      </w:r>
    </w:p>
    <w:p>
      <w:pPr>
        <w:pStyle w:val="Normal"/>
        <w:rPr/>
      </w:pPr>
      <w:r>
        <w:rPr/>
        <w:t xml:space="preserve">The AGA recommends that AcSEC allow for the capitalization of general and administrative costs for rate-regulated entities commensurate with those capitalized for regulatory purposes.  Paragraphs 25 and 29 of the Proposed SOP require the expensing of internal general and administrative overhead costs and appear to conflict with paragraph 26 which allows the capitalization of general and administrative overheads inherent in third-party transactions.  The Proposed SOP appears to encourage the use of third parties for the construction of assets.  This is in conflict with one of the core competencies developed at entities within the natural gas industry, which is the construction of specialized assets.   The AGA believes that the development of this construction competency results in efficiencies that translate into lower rates for the consumer.  The Gas Plant Instructions of the FERC Uniform System of Accounts call for the capitalization of “general administration.”  Expensing general and administrative costs as incurred per the Proposed SOP would result in additional differences between the regulatory books and the GAAP books.  </w:t>
      </w:r>
    </w:p>
    <w:p>
      <w:pPr>
        <w:pStyle w:val="Heading1"/>
        <w:ind w:hanging="0" w:start="0"/>
        <w:rPr>
          <w:b w:val="false"/>
          <w:color w:val="FF00FF"/>
        </w:rPr>
      </w:pPr>
      <w:r>
        <w:rPr>
          <w:b w:val="false"/>
          <w:color w:val="FF00FF"/>
        </w:rPr>
        <w:t xml:space="preserve">  </w:t>
      </w:r>
    </w:p>
    <w:p>
      <w:pPr>
        <w:pStyle w:val="Heading1"/>
        <w:ind w:hanging="0" w:start="0"/>
        <w:rPr/>
      </w:pPr>
      <w:r>
        <w:rPr/>
        <w:t>Accounting for Costs Incurred – Costs of Removal</w:t>
      </w:r>
    </w:p>
    <w:p>
      <w:pPr>
        <w:pStyle w:val="Normal"/>
        <w:rPr/>
      </w:pPr>
      <w:r>
        <w:rPr/>
      </w:r>
    </w:p>
    <w:p>
      <w:pPr>
        <w:pStyle w:val="Normal"/>
        <w:rPr/>
      </w:pPr>
      <w:r>
        <w:rPr/>
        <w:t>The AGA member companies recommend that regulated entities be allowed to continue the practice of accruing for costs of removal in a manner that coincides with the recovery of those costs for regulatory purposes.  Additionally, the AGA recommends that the interaction of the Proposed SOP with SFAS No. 143 be clarified.  Expensing costs of removal as incurred per the Proposed SOP appears to be in conflict with SFAS No. 143 when a legal obligation exists whose fair value can be reasonably estimated.</w:t>
      </w:r>
    </w:p>
    <w:p>
      <w:pPr>
        <w:pStyle w:val="Normal"/>
        <w:rPr/>
      </w:pPr>
      <w:r>
        <w:rPr/>
      </w:r>
    </w:p>
    <w:p>
      <w:pPr>
        <w:pStyle w:val="Normal"/>
        <w:rPr/>
      </w:pPr>
      <w:r>
        <w:rPr/>
        <w:t xml:space="preserve">Current practice in the natural gas industry includes the accrual and recovery of removal costs, net of salvage, over the life of the affected assets.  The theory behind this approach is that the removal costs and salvage relate to the entire operating life of the asset, not simply the period in which the cost is incurred.  Expensing costs of removal as incurred per the Proposed SOP adds another difference between the regulatory and GAAP books.   </w:t>
      </w:r>
    </w:p>
    <w:p>
      <w:pPr>
        <w:pStyle w:val="Heading1"/>
        <w:ind w:hanging="0" w:start="0"/>
        <w:rPr/>
      </w:pPr>
      <w:r>
        <w:rPr/>
      </w:r>
    </w:p>
    <w:p>
      <w:pPr>
        <w:pStyle w:val="Heading1"/>
        <w:ind w:hanging="0" w:start="0"/>
        <w:rPr>
          <w:b w:val="false"/>
        </w:rPr>
      </w:pPr>
      <w:r>
        <w:rPr/>
        <w:t>Effective Date and Transition</w:t>
      </w:r>
    </w:p>
    <w:p>
      <w:pPr>
        <w:pStyle w:val="Normal"/>
        <w:rPr>
          <w:b/>
        </w:rPr>
      </w:pPr>
      <w:r>
        <w:rPr>
          <w:b/>
        </w:rPr>
      </w:r>
    </w:p>
    <w:p>
      <w:pPr>
        <w:pStyle w:val="Normal"/>
        <w:rPr/>
      </w:pPr>
      <w:r>
        <w:rPr/>
        <w:t>As previously stated in these comments, the AGA strongly disagrees with component method accounting as described in the Exposure Draft.  The AGA proposes that AcSEC exclude rate-regulated entities from the scope of the Proposed SOP as it relates to component method accounting.  To the extent that rate-regulated entities are affected by the Proposed SOP, the AGA recommends that the effective date be established as the first fiscal year beginning eighteen months after the issuance of the final SOP.</w:t>
      </w:r>
    </w:p>
    <w:p>
      <w:pPr>
        <w:pStyle w:val="Normal"/>
        <w:rPr/>
      </w:pPr>
      <w:r>
        <w:rPr/>
      </w:r>
    </w:p>
    <w:p>
      <w:pPr>
        <w:pStyle w:val="Heading1"/>
        <w:ind w:hanging="0" w:start="0"/>
        <w:rPr/>
      </w:pPr>
      <w:r>
        <w:rPr/>
        <w:t>Conclusion</w:t>
      </w:r>
    </w:p>
    <w:p>
      <w:pPr>
        <w:pStyle w:val="Normal"/>
        <w:rPr/>
      </w:pPr>
      <w:r>
        <w:rPr/>
      </w:r>
    </w:p>
    <w:p>
      <w:pPr>
        <w:pStyle w:val="Normal"/>
        <w:rPr/>
      </w:pPr>
      <w:r>
        <w:rPr/>
        <w:t xml:space="preserve">In the areas regarding component method accounting and the expensing of </w:t>
      </w:r>
    </w:p>
    <w:p>
      <w:pPr>
        <w:pStyle w:val="Normal"/>
        <w:rPr/>
      </w:pPr>
      <w:r>
        <w:rPr/>
        <w:t>general and administrative overheads, early-stage project costs, and the net book value of retirements related to replacements, the Proposed SOP is in direct conflict with regulatory accounting and rate-making methodology.  Additionally, the interaction of the Proposed SOP with SFAS No. 143 is unclear.  For the reasons mentioned throughout this Response Letter, the AGA strongly recommends that the AcSEC exclude rate-regulated entities from the scope of the Proposed SOP as it relates to these issues and adopt the recommended changes involving the project stage framework and effective date.</w:t>
      </w:r>
    </w:p>
    <w:p>
      <w:pPr>
        <w:pStyle w:val="Normal"/>
        <w:rPr/>
      </w:pPr>
      <w:r>
        <w:rPr/>
      </w:r>
    </w:p>
    <w:p>
      <w:pPr>
        <w:pStyle w:val="Normal"/>
        <w:rPr/>
      </w:pPr>
      <w:r>
        <w:rPr/>
      </w:r>
    </w:p>
    <w:p>
      <w:pPr>
        <w:pStyle w:val="Normal"/>
        <w:rPr/>
      </w:pPr>
      <w:r>
        <w:rPr/>
        <w:t xml:space="preserve">Very truly yours, </w:t>
      </w:r>
    </w:p>
    <w:p>
      <w:pPr>
        <w:pStyle w:val="Normal"/>
        <w:rPr/>
      </w:pPr>
      <w:r>
        <w:rPr/>
      </w:r>
    </w:p>
    <w:p>
      <w:pPr>
        <w:pStyle w:val="Normal"/>
        <w:rPr/>
      </w:pPr>
      <w:r>
        <w:rPr/>
        <w:t xml:space="preserve">Richard Bange </w:t>
      </w:r>
    </w:p>
    <w:p>
      <w:pPr>
        <w:pStyle w:val="Normal"/>
        <w:rPr/>
      </w:pPr>
      <w:r>
        <w:rPr/>
        <w:t>Chairman, Accounting Advisory Council</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2001-11-12T21:40:00Z</dcterms:created>
  <dc:creator>#119046</dc:creator>
  <dc:description/>
  <dc:language>en-CA</dc:language>
  <cp:lastModifiedBy>jbutler</cp:lastModifiedBy>
  <cp:lastPrinted>2001-11-06T15:49:00Z</cp:lastPrinted>
  <dcterms:modified xsi:type="dcterms:W3CDTF">2001-11-12T21:40:00Z</dcterms:modified>
  <cp:revision>2</cp:revision>
  <dc:subject/>
  <dc:title>Response letter to AcSEC Exposure Draft on Proposed Statement of Position – Accounting for Certain Costs and Activities Relate</dc:title>
</cp:coreProperties>
</file>