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3"/>
          <w:lang w:val="en-CA"/>
        </w:rPr>
      </w:pPr>
      <w:r>
        <w:rPr>
          <w:sz w:val="23"/>
          <w:lang w:val="en-CA"/>
        </w:rPr>
      </w:r>
      <w: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-548640</wp:posOffset>
                </wp:positionV>
                <wp:extent cx="2011680" cy="548640"/>
                <wp:effectExtent l="0" t="0" r="0" b="0"/>
                <wp:wrapNone/>
                <wp:docPr id="1" name="Frame1"/>
                <a:graphic xmlns:a="http://schemas.openxmlformats.org/drawingml/2006/main">
                  <a:graphicData uri="http://schemas.microsoft.com/office/word/2010/wordprocessingShape">
                    <wps:wsp>
                      <wps:cNvSpPr txBox="1"/>
                      <wps:spPr>
                        <a:xfrm>
                          <a:off x="0" y="0"/>
                          <a:ext cx="2011680" cy="548640"/>
                        </a:xfrm>
                        <a:prstGeom prst="rect"/>
                        <a:solidFill>
                          <a:srgbClr val="FFFFFF">
                            <a:alpha val="0"/>
                          </a:srgbClr>
                        </a:solidFill>
                      </wps:spPr>
                      <wps:txbx>
                        <w:txbxContent>
                          <w:p>
                            <w:pPr>
                              <w:pStyle w:val="Normal"/>
                              <w:rPr>
                                <w:sz w:val="20"/>
                              </w:rPr>
                            </w:pPr>
                            <w:r>
                              <w:rPr>
                                <w:sz w:val="20"/>
                              </w:rPr>
                              <w:object w:dxaOrig="12002" w:dyaOrig="403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6pt;height:42.35pt" filled="f" o:ole="">
                                  <v:imagedata r:id="rId3" o:title=""/>
                                </v:shape>
                                <o:OLEObject Type="Embed" ProgID="" ShapeID="ole_rId2" DrawAspect="Content" ObjectID="_1693488490" r:id="rId2"/>
                              </w:object>
                            </w:r>
                          </w:p>
                        </w:txbxContent>
                      </wps:txbx>
                      <wps:bodyPr anchor="t" lIns="635" tIns="635" rIns="635" bIns="635">
                        <a:noAutofit/>
                      </wps:bodyPr>
                    </wps:wsp>
                  </a:graphicData>
                </a:graphic>
              </wp:anchor>
            </w:drawing>
          </mc:Choice>
          <mc:Fallback>
            <w:pict>
              <v:rect fillcolor="#FFFFFF" style="position:absolute;rotation:-0;width:158.4pt;height:43.2pt;mso-wrap-distance-left:9.05pt;mso-wrap-distance-right:9.05pt;mso-wrap-distance-top:0pt;mso-wrap-distance-bottom:0pt;margin-top:-43.2pt;mso-position-vertical-relative:text;margin-left:0pt;mso-position-horizontal-relative:text">
                <v:fill opacity="0f"/>
                <v:textbox inset="0.000694444444444445in,0.000694444444444445in,0.000694444444444445in,0.000694444444444445in">
                  <w:txbxContent>
                    <w:p>
                      <w:pPr>
                        <w:pStyle w:val="Normal"/>
                        <w:rPr>
                          <w:sz w:val="20"/>
                        </w:rPr>
                      </w:pPr>
                      <w:r>
                        <w:rPr>
                          <w:sz w:val="20"/>
                        </w:rPr>
                        <w:object w:dxaOrig="12002" w:dyaOrig="403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6pt;height:42.35pt" filled="f" o:ole="">
                            <v:imagedata r:id="rId5" o:title=""/>
                          </v:shape>
                          <o:OLEObject Type="Embed" ProgID="" ShapeID="ole_rId4" DrawAspect="Content" ObjectID="_1697309823" r:id="rId4"/>
                        </w:object>
                      </w:r>
                    </w:p>
                  </w:txbxContent>
                </v:textbox>
                <w10:wrap type="none"/>
              </v:rect>
            </w:pict>
          </mc:Fallback>
        </mc:AlternateContent>
      </w:r>
    </w:p>
    <w:p>
      <w:pPr>
        <w:pStyle w:val="Normal"/>
        <w:pBdr>
          <w:top w:val="single" w:sz="18" w:space="0" w:color="000000"/>
        </w:pBdr>
        <w:jc w:val="both"/>
        <w:rPr>
          <w:shadow/>
          <w:sz w:val="23"/>
        </w:rPr>
      </w:pPr>
      <w:r>
        <w:rPr>
          <w:shadow/>
          <w:sz w:val="23"/>
        </w:rPr>
      </w:r>
    </w:p>
    <w:p>
      <w:pPr>
        <w:pStyle w:val="Normal"/>
        <w:jc w:val="center"/>
        <w:rPr>
          <w:smallCaps/>
          <w:shadow/>
          <w:sz w:val="40"/>
        </w:rPr>
      </w:pPr>
      <w:r>
        <w:rPr>
          <w:smallCaps/>
          <w:shadow/>
          <w:sz w:val="40"/>
        </w:rPr>
        <w:t>FCPA Bribery Case Filed Against American Bank Note Holographics, Inc. and Senior Executives</w:t>
      </w:r>
    </w:p>
    <w:p>
      <w:pPr>
        <w:pStyle w:val="Normal"/>
        <w:jc w:val="both"/>
        <w:rPr>
          <w:smallCaps/>
          <w:shadow/>
          <w:sz w:val="23"/>
        </w:rPr>
      </w:pPr>
      <w:r>
        <w:rPr>
          <w:smallCaps/>
          <w:shadow/>
          <w:sz w:val="23"/>
        </w:rPr>
      </w:r>
    </w:p>
    <w:p>
      <w:pPr>
        <w:pStyle w:val="Normal"/>
        <w:jc w:val="center"/>
        <w:rPr>
          <w:shadow/>
          <w:sz w:val="23"/>
        </w:rPr>
      </w:pPr>
      <w:r>
        <w:rPr>
          <w:i/>
          <w:shadow/>
          <w:sz w:val="23"/>
        </w:rPr>
        <w:t>November 2001</w:t>
      </w:r>
    </w:p>
    <w:p>
      <w:pPr>
        <w:pStyle w:val="Normal"/>
        <w:pBdr>
          <w:top w:val="single" w:sz="18" w:space="1" w:color="000000"/>
        </w:pBdr>
        <w:jc w:val="both"/>
        <w:rPr>
          <w:shadow/>
          <w:sz w:val="23"/>
        </w:rPr>
      </w:pPr>
      <w:r>
        <w:rPr>
          <w:shadow/>
          <w:sz w:val="23"/>
        </w:rPr>
      </w:r>
    </w:p>
    <w:p>
      <w:pPr>
        <w:pStyle w:val="BlockText"/>
        <w:ind w:start="0" w:end="1440"/>
        <w:jc w:val="both"/>
        <w:rPr>
          <w:rFonts w:ascii="CG Omega" w:hAnsi="CG Omega" w:cs="CG Omega"/>
        </w:rPr>
      </w:pPr>
      <w:r>
        <w:rPr>
          <w:sz w:val="23"/>
        </w:rPr>
        <w:tab/>
      </w:r>
      <w:r>
        <w:rPr>
          <w:b/>
        </w:rPr>
        <w:t>I.</w:t>
        <w:tab/>
      </w:r>
      <w:r>
        <w:rPr>
          <w:rFonts w:cs="CG Omega" w:ascii="CG Omega" w:hAnsi="CG Omega"/>
          <w:b/>
        </w:rPr>
        <w:t>Introduction</w:t>
      </w:r>
    </w:p>
    <w:p>
      <w:pPr>
        <w:pStyle w:val="BlockText"/>
        <w:ind w:start="0" w:end="0"/>
        <w:jc w:val="both"/>
        <w:rPr>
          <w:rFonts w:ascii="CG Omega" w:hAnsi="CG Omega" w:cs="CG Omega"/>
        </w:rPr>
      </w:pPr>
      <w:r>
        <w:rPr>
          <w:rFonts w:cs="CG Omega" w:ascii="CG Omega" w:hAnsi="CG Omega"/>
        </w:rPr>
        <w:tab/>
        <w:t>The Securities and Exchange Commission was for a long time a quiet partner in sharing responsibility with the Department of Justice for enforcing the Foreign Corrupt Practices Act. Although the FCPA was derived in large measure as a result of SEC enforcement actions and investigations in the foreign payment scandals of the 1970’s, the SEC brought only three actions related to alleged foreign bribery from the 1978 passage of the FCPA until 1996. That has clearly changed, as the SEC has filed four foreign payments cases in the past year.</w:t>
      </w:r>
    </w:p>
    <w:p>
      <w:pPr>
        <w:pStyle w:val="BlockText"/>
        <w:ind w:start="0" w:end="0"/>
        <w:jc w:val="both"/>
        <w:rPr>
          <w:rFonts w:ascii="CG Omega" w:hAnsi="CG Omega" w:cs="CG Omega"/>
        </w:rPr>
      </w:pPr>
      <w:r>
        <w:rPr>
          <w:rFonts w:cs="CG Omega" w:ascii="CG Omega" w:hAnsi="CG Omega"/>
        </w:rPr>
        <w:tab/>
        <w:t xml:space="preserve">The SEC’s renewed interest in foreign bribery surfaced publicly in 1996, with an enforcement action against Montedison, SpA, alleging various violations arising from Montedison’s payments to Italian government officials.  The following year, the Commission filed an enforcement action against Triton Energy and various former Triton officials.  It was December 2000 when the SEC brought another foreign payments case, this time against IBM for actions that occurred in IBM’s Argentina subsidiary.  In the twelve months since then, the SEC has brought FCPA enforcement actions against Baker Hughes, Inc. and Chiquita Brands International, Inc., which were the subjects of previous commentary by Foley &amp; Lardner.  In addition, in July of this year, the Commission, along with the Department of Justice, filed major enforcement actions against American Bank Note Holographics, Inc. (“ABNH”) and former senior officers and employees of ABNH.  The ABNH case, is a comprehensive financial fraud prosecution containing allegations, among other things, that ABNH officers bribed a foreign government official.  </w:t>
      </w:r>
    </w:p>
    <w:p>
      <w:pPr>
        <w:pStyle w:val="BlockText"/>
        <w:ind w:start="0" w:end="0"/>
        <w:jc w:val="both"/>
        <w:rPr>
          <w:rFonts w:ascii="CG Omega" w:hAnsi="CG Omega" w:cs="CG Omega"/>
        </w:rPr>
      </w:pPr>
      <w:r>
        <w:rPr>
          <w:rFonts w:cs="CG Omega" w:ascii="CG Omega" w:hAnsi="CG Omega"/>
        </w:rPr>
        <w:tab/>
        <w:t xml:space="preserve">The outcome was forceful and comprehensive and involved criminal charges being filed against four former officers and civil injunctive and administrative charges being filed against the companies.  On the foreign bribery charges, ABNH consented to the entry of a civil cease-and-desist order prohibiting future violations of the antifraud, books and records, and internal accounting controls provisions of the Securities Exchange Act of 1934, and agreed to pay a $75,000 civil penalty.  Civil and criminal charges are pending against former officers and employees who allegedly participated in the misconduct.  ABNH’s costly and disruptive experience highlights the dramatic consequences of failing to comply with the FCPA.  </w:t>
      </w:r>
    </w:p>
    <w:p>
      <w:pPr>
        <w:pStyle w:val="BlockText"/>
        <w:ind w:start="0" w:end="0"/>
        <w:jc w:val="both"/>
        <w:rPr>
          <w:rFonts w:ascii="CG Omega" w:hAnsi="CG Omega" w:cs="CG Omega"/>
        </w:rPr>
      </w:pPr>
      <w:r>
        <w:rPr>
          <w:rFonts w:cs="CG Omega" w:ascii="CG Omega" w:hAnsi="CG Omega"/>
        </w:rPr>
      </w:r>
    </w:p>
    <w:p>
      <w:pPr>
        <w:pStyle w:val="BlockText"/>
        <w:ind w:start="0" w:end="0"/>
        <w:jc w:val="both"/>
        <w:rPr>
          <w:rFonts w:ascii="CG Omega" w:hAnsi="CG Omega" w:cs="CG Omega"/>
        </w:rPr>
      </w:pPr>
      <w:r>
        <w:rPr>
          <w:rFonts w:cs="CG Omega" w:ascii="CG Omega" w:hAnsi="CG Omega"/>
        </w:rPr>
      </w:r>
    </w:p>
    <w:p>
      <w:pPr>
        <w:pStyle w:val="BlockText"/>
        <w:ind w:start="0" w:end="1440"/>
        <w:jc w:val="both"/>
        <w:rPr/>
      </w:pPr>
      <w:r>
        <w:rPr>
          <w:rFonts w:cs="CG Omega" w:ascii="CG Omega" w:hAnsi="CG Omega"/>
        </w:rPr>
        <w:tab/>
      </w:r>
      <w:r>
        <w:rPr>
          <w:rFonts w:cs="CG Omega" w:ascii="CG Omega" w:hAnsi="CG Omega"/>
          <w:b/>
        </w:rPr>
        <w:t>II.</w:t>
        <w:tab/>
        <w:t>Overview of the FCPA</w:t>
        <w:tab/>
      </w:r>
    </w:p>
    <w:p>
      <w:pPr>
        <w:pStyle w:val="Normal"/>
        <w:jc w:val="both"/>
        <w:rPr/>
      </w:pPr>
      <w:r>
        <w:rPr>
          <w:rFonts w:cs="CG Omega" w:ascii="CG Omega" w:hAnsi="CG Omega"/>
          <w:b/>
        </w:rPr>
        <w:tab/>
      </w:r>
      <w:r>
        <w:rPr>
          <w:rFonts w:cs="CG Omega" w:ascii="CG Omega" w:hAnsi="CG Omega"/>
        </w:rPr>
        <w:t>The Act consists of two parts:  the antibribery provisions and the record-keeping and internal accounting controls provisions</w:t>
      </w:r>
      <w:r>
        <w:rPr>
          <w:rFonts w:cs="CG Omega" w:ascii="CG Omega" w:hAnsi="CG Omega"/>
          <w:color w:val="000000"/>
        </w:rPr>
        <w:t xml:space="preserve">.  A violation of either of these provisions can result in criminal and civil penalties. </w:t>
      </w:r>
      <w:r>
        <w:rPr>
          <w:rFonts w:cs="CG Omega" w:ascii="CG Omega" w:hAnsi="CG Omega"/>
        </w:rPr>
        <w:t xml:space="preserve">The SEC and the Department of Justice jointly enforce the FCPA.  The SEC’s jurisdiction is civil and extends to issuers of securities registered with the Commission, and to individuals whose conduct is related to that charged against the issuer.  The Justice Department conducts all criminal prosecutions, as well as civil prosecutions involving persons or entities other than public companies.  </w:t>
      </w:r>
      <w:r>
        <w:rPr>
          <w:rFonts w:cs="CG Omega" w:ascii="CG Omega" w:hAnsi="CG Omega"/>
          <w:color w:val="000000"/>
        </w:rPr>
        <w:t xml:space="preserve">  </w:t>
      </w:r>
    </w:p>
    <w:p>
      <w:pPr>
        <w:pStyle w:val="Normal"/>
        <w:jc w:val="both"/>
        <w:rPr/>
      </w:pPr>
      <w:r>
        <w:rPr>
          <w:rFonts w:cs="CG Omega" w:ascii="CG Omega" w:hAnsi="CG Omega"/>
          <w:color w:val="000000"/>
        </w:rPr>
        <w:tab/>
      </w:r>
      <w:r>
        <w:rPr>
          <w:rFonts w:cs="CG Omega" w:ascii="CG Omega" w:hAnsi="CG Omega"/>
          <w:color w:val="000000"/>
          <w:u w:val="single"/>
        </w:rPr>
        <w:t>Antibribery provisions</w:t>
      </w:r>
      <w:r>
        <w:rPr>
          <w:rFonts w:cs="CG Omega" w:ascii="CG Omega" w:hAnsi="CG Omega"/>
          <w:color w:val="000000"/>
        </w:rPr>
        <w:t>: The FCPA’s antibribery provisions prohibit the direct or indirect payment by any covered person</w:t>
      </w:r>
      <w:r>
        <w:rPr>
          <w:rStyle w:val="FootnoteReference"/>
          <w:rFonts w:cs="CG Omega" w:ascii="CG Omega" w:hAnsi="CG Omega"/>
          <w:color w:val="000000"/>
          <w:vertAlign w:val="superscript"/>
        </w:rPr>
        <w:footnoteReference w:id="2"/>
      </w:r>
      <w:r>
        <w:rPr>
          <w:rFonts w:cs="CG Omega" w:ascii="CG Omega" w:hAnsi="CG Omega"/>
          <w:color w:val="000000"/>
          <w:vertAlign w:val="superscript"/>
        </w:rPr>
        <w:t xml:space="preserve"> </w:t>
      </w:r>
      <w:r>
        <w:rPr>
          <w:rFonts w:cs="CG Omega" w:ascii="CG Omega" w:hAnsi="CG Omega"/>
          <w:color w:val="000000"/>
        </w:rPr>
        <w:t>of money or anything of value to employees or officials of a foreign government, public international organization or political party, or to any other person, while knowing that all or a portion of such money or thing of value will be offered for the purpose of influencing or inducing one of the above to do or refrain from doing any act, in order to assist the covered person in obtaining or retaining business or securing any improper advantage.</w:t>
      </w:r>
      <w:r>
        <w:rPr>
          <w:rStyle w:val="FootnoteReference"/>
          <w:rFonts w:cs="CG Omega" w:ascii="CG Omega" w:hAnsi="CG Omega"/>
          <w:color w:val="000000"/>
          <w:vertAlign w:val="superscript"/>
        </w:rPr>
        <w:footnoteReference w:id="3"/>
      </w:r>
      <w:r>
        <w:rPr>
          <w:rFonts w:cs="CG Omega" w:ascii="CG Omega" w:hAnsi="CG Omega"/>
          <w:color w:val="000000"/>
          <w:vertAlign w:val="superscript"/>
        </w:rPr>
        <w:t xml:space="preserve"> </w:t>
      </w:r>
      <w:r>
        <w:rPr>
          <w:rFonts w:cs="CG Omega" w:ascii="CG Omega" w:hAnsi="CG Omega"/>
          <w:color w:val="000000"/>
        </w:rPr>
        <w:t xml:space="preserve"> </w:t>
      </w:r>
    </w:p>
    <w:p>
      <w:pPr>
        <w:pStyle w:val="Normal"/>
        <w:jc w:val="both"/>
        <w:rPr/>
      </w:pPr>
      <w:r>
        <w:rPr>
          <w:rFonts w:cs="CG Omega" w:ascii="CG Omega" w:hAnsi="CG Omega"/>
          <w:color w:val="000000"/>
        </w:rPr>
        <w:tab/>
      </w:r>
      <w:r>
        <w:rPr>
          <w:rFonts w:cs="CG Omega" w:ascii="CG Omega" w:hAnsi="CG Omega"/>
          <w:color w:val="000000"/>
          <w:u w:val="single"/>
        </w:rPr>
        <w:t>Record-keeping and internal accounting controls provisions</w:t>
      </w:r>
      <w:r>
        <w:rPr>
          <w:rFonts w:cs="CG Omega" w:ascii="CG Omega" w:hAnsi="CG Omega"/>
          <w:color w:val="000000"/>
        </w:rPr>
        <w:t>: These provisions require (1) that books, records and accounts are kept in reasonable detail to accurately and fairly reflect transactions and dispositions of assets; and (2) that a system of internal accounting controls is devised (a) to provide reasonable assurances that transactions are executed in accordance with management’s authorization; (b) to ensure that assets are recorded as necessary to permit preparation of financial statements and to maintain accountability for assets; (c) to limit access to assets to management’s authorization; and (d) to make certain that recorded accountability for assets is compared with the existing assets at reasonable intervals and appropriate action is taken with respect to any differences.</w:t>
      </w:r>
      <w:r>
        <w:rPr>
          <w:rStyle w:val="FootnoteReference"/>
          <w:rFonts w:cs="CG Omega" w:ascii="CG Omega" w:hAnsi="CG Omega"/>
          <w:color w:val="000000"/>
          <w:vertAlign w:val="superscript"/>
        </w:rPr>
        <w:footnoteReference w:id="4"/>
      </w:r>
      <w:r>
        <w:rPr>
          <w:rFonts w:cs="CG Omega" w:ascii="CG Omega" w:hAnsi="CG Omega"/>
          <w:color w:val="000000"/>
        </w:rPr>
        <w:t xml:space="preserve">  Note that the record-keeping and internal accounting controls provisions apply only to issuers that have securities registered with the SEC pursuant to the Exchange Act (essentially, all publicly-held companies in the U.S., and any foreign companies listed on the U.S. stock markets).  </w:t>
      </w:r>
    </w:p>
    <w:p>
      <w:pPr>
        <w:pStyle w:val="Normal"/>
        <w:jc w:val="both"/>
        <w:rPr/>
      </w:pPr>
      <w:r>
        <w:rPr>
          <w:rFonts w:cs="CG Omega" w:ascii="CG Omega" w:hAnsi="CG Omega"/>
          <w:color w:val="000000"/>
        </w:rPr>
        <w:tab/>
        <w:t>The Department of Justice can bring criminal charges against companies or individuals for intentionally misrecording payments, even if the prosecutor cannot prove that the payment was an illegal bribe.</w:t>
      </w:r>
      <w:r>
        <w:rPr>
          <w:rStyle w:val="FootnoteReference"/>
          <w:rFonts w:cs="CG Omega" w:ascii="CG Omega" w:hAnsi="CG Omega"/>
          <w:color w:val="000000"/>
          <w:vertAlign w:val="superscript"/>
        </w:rPr>
        <w:footnoteReference w:id="5"/>
      </w:r>
      <w:r>
        <w:rPr>
          <w:rFonts w:cs="CG Omega" w:ascii="CG Omega" w:hAnsi="CG Omega"/>
          <w:color w:val="000000"/>
        </w:rPr>
        <w:t xml:space="preserve">  In addition, the books and records and internal accounting controls provisions can be violated by false or inaccurate descriptions of the payments.  For example, describing a payment as an “equipment repair,” when in fact the payment was for an otherwise legal commission on a project, could violate both provisions.  Individuals who willfully violate these provisions may be fined criminally up to $1,000,000, imprisoned up to ten years, or both.  A corporation or other business entity may be fined criminally up to $2,500,000, or alternatively, up to twice the amount of any pecuniary gain or loss resulting from violation of accounting provisions.   The SEC’s remedial authority encompasses the full range of injunctive and administrative relief, as well as civil penalties and officer and director bars.</w:t>
      </w:r>
    </w:p>
    <w:p>
      <w:pPr>
        <w:pStyle w:val="BodyTextIndent4"/>
        <w:spacing w:lineRule="auto" w:line="240"/>
        <w:jc w:val="both"/>
        <w:rPr>
          <w:rFonts w:ascii="CG Omega" w:hAnsi="CG Omega" w:cs="CG Omega"/>
        </w:rPr>
      </w:pPr>
      <w:r>
        <w:rPr/>
        <w:tab/>
      </w:r>
    </w:p>
    <w:p>
      <w:pPr>
        <w:pStyle w:val="BodyTextIndent4"/>
        <w:jc w:val="both"/>
        <w:rPr>
          <w:rFonts w:ascii="CG Omega" w:hAnsi="CG Omega" w:cs="CG Omega"/>
          <w:b/>
        </w:rPr>
      </w:pPr>
      <w:r>
        <w:rPr>
          <w:rFonts w:cs="CG Omega" w:ascii="CG Omega" w:hAnsi="CG Omega"/>
          <w:b/>
        </w:rPr>
        <w:t>III.</w:t>
        <w:tab/>
        <w:t>ABNH’s Alleged Violation of the FCPA</w:t>
      </w:r>
    </w:p>
    <w:p>
      <w:pPr>
        <w:pStyle w:val="Normal"/>
        <w:jc w:val="both"/>
        <w:rPr>
          <w:rFonts w:ascii="CG Omega" w:hAnsi="CG Omega" w:cs="CG Omega"/>
        </w:rPr>
      </w:pPr>
      <w:r>
        <w:rPr>
          <w:rFonts w:cs="CG Omega" w:ascii="CG Omega" w:hAnsi="CG Omega"/>
        </w:rPr>
        <w:tab/>
        <w:t xml:space="preserve">The government’s allegations describe a wide-ranging financial fraud scheme, including bribery of foreign officials, against ABNH, its parent company, and its former officers.  Prior to July 1998,  ABNH was a wholly owned subsidiary of American Banknote Corporation.  In July 1998, American Banknote Corporation sold its entire interest in ABNH in an initial public offering that raised $107 million.  The Registration Statement for the IPO allegedly included many materially false statements, designed to make it appear that American Banknote Corporation was meeting earnings forecasts.  The fraud continued in order to condition the market for the IPO, exaggerate ABNH’s success, and pay down American Banknote Corporation’s debt.  The two companies, through the actions of their former senior officers and others, engaged in a variety of fraudulent practices that materially increased annual and quarterly revenue and net income.  The companies attempted to cover-up their wrongdoing by falsifying documents and by lying to auditors.  </w:t>
      </w:r>
    </w:p>
    <w:p>
      <w:pPr>
        <w:pStyle w:val="Normal"/>
        <w:jc w:val="both"/>
        <w:rPr>
          <w:rFonts w:ascii="CG Omega" w:hAnsi="CG Omega" w:cs="CG Omega"/>
        </w:rPr>
      </w:pPr>
      <w:r>
        <w:rPr>
          <w:rFonts w:cs="CG Omega" w:ascii="CG Omega" w:hAnsi="CG Omega"/>
        </w:rPr>
        <w:tab/>
        <w:t>Among other charges, the SEC charged ABNH and two of its officers with violating the anti-bribery provision of the FCPA, found in Section 30A of the Exchange Act.  ABNH employed agents who were responsible for seeking out new business in various regions of the world.  In an effort to obtain a contract for the production of holograms for a foreign government, ABNH officers authorized a payment in the amount of $239,000 U.S. dollars to a bank account for the benefit of one or more officials of that foreign government.  The employee wired the money as instructed and ABNH misleadingly characterized this fee in its books and records as a consulting fee.  The amount paid comprised nearly 40% of the contract’s value and constituted an additional payment ABNH made for the purpose of influencing or affecting the acts or decisions of one or more of the foreign officials, or of the foreign government, in order to assist ABNH in obtaining or retaining business with the foreign government.</w:t>
      </w:r>
    </w:p>
    <w:p>
      <w:pPr>
        <w:pStyle w:val="Normal"/>
        <w:jc w:val="both"/>
        <w:rPr>
          <w:rFonts w:ascii="CG Omega" w:hAnsi="CG Omega" w:cs="CG Omega"/>
        </w:rPr>
      </w:pPr>
      <w:r>
        <w:rPr>
          <w:rFonts w:cs="CG Omega" w:ascii="CG Omega" w:hAnsi="CG Omega"/>
        </w:rPr>
        <w:tab/>
        <w:t xml:space="preserve">In November 1998, ABNH’s auditors became aware that some customers had invoices showing dollar amounts different from those amounts reflected on ABNH’s versions of the same invoices.  In response to this discovery, ABNH’s Audit Committee retained counsel to conduct an internal investigation.  Upon learning of improper conduct at ABNH, the Company promptly reported its discovery to the Commission staff.  ABNH conducted a thorough internal investigation, apprised the Commission staff of its findings and cooperated with the SEC in its investigation of the matter. </w:t>
      </w:r>
    </w:p>
    <w:p>
      <w:pPr>
        <w:pStyle w:val="Normal"/>
        <w:jc w:val="both"/>
        <w:rPr>
          <w:rFonts w:ascii="CG Omega" w:hAnsi="CG Omega" w:cs="CG Omega"/>
        </w:rPr>
      </w:pPr>
      <w:r>
        <w:rPr>
          <w:rFonts w:cs="CG Omega" w:ascii="CG Omega" w:hAnsi="CG Omega"/>
        </w:rPr>
        <w:tab/>
        <w:t xml:space="preserve">All of ABNH’s former senior management, including the Chairman and Chief Executive Officer, President, Vice President of Finance and Controller have resigned or have been terminated and the Company has replaced them with a new team.  Former management failed to maintain proper policies and did not have a written policy prohibiting the violations of law that occurred.  The new management instituted various procedures including a written code of business conduct.  </w:t>
      </w:r>
    </w:p>
    <w:p>
      <w:pPr>
        <w:pStyle w:val="Normal"/>
        <w:jc w:val="both"/>
        <w:rPr>
          <w:rFonts w:ascii="CG Omega" w:hAnsi="CG Omega" w:cs="CG Omega"/>
        </w:rPr>
      </w:pPr>
      <w:r>
        <w:rPr>
          <w:rFonts w:cs="CG Omega" w:ascii="CG Omega" w:hAnsi="CG Omega"/>
        </w:rPr>
        <w:tab/>
        <w:t>ABNH consented to the Commission’s entry of a cease-and-desist order finding that it violated the FCPA’s books and records, internal accounting controls and antibribery provisions, as well as antifraud and periodic reporting provisions of the Securities Act and Exchange Act, and prohibiting future violations of those provisions.  In a separate action filed in federal court, the Commission imposed a $75,000 civil penalty on ABNH, specifically for violating the anti-bribery provision.  The SEC noted that it considered ABNH’s prompt remedial acts and cooperation in imposing the relief set forth in the order.</w:t>
      </w:r>
    </w:p>
    <w:p>
      <w:pPr>
        <w:pStyle w:val="Normal"/>
        <w:jc w:val="both"/>
        <w:rPr>
          <w:rFonts w:ascii="CG Omega" w:hAnsi="CG Omega" w:cs="CG Omega"/>
        </w:rPr>
      </w:pPr>
      <w:r>
        <w:rPr>
          <w:rFonts w:cs="CG Omega" w:ascii="CG Omega" w:hAnsi="CG Omega"/>
        </w:rPr>
        <w:tab/>
        <w:t>A total of nine individuals were charged in related SEC enforcement actions, and four were criminally charged by the Department of Justice.  The SEC charged two former senior officers of ABNH, Morris Weissman and Joshua Cantor, with violating the anti-bribery provision, among the other charges typically found in financial fraud cases, and is seeking an injunction, and an order barring Weissman and Cantor from serving as officers or directors of any public company, return of unjust enrichment, and civil penalties. One of the senior officers,  Cantor, pled guilty to criminal violations of the anti-bribery provision, as well as to securities fraud, books and records, and lying to auditors.</w:t>
      </w:r>
    </w:p>
    <w:p>
      <w:pPr>
        <w:pStyle w:val="Normal"/>
        <w:jc w:val="both"/>
        <w:rPr>
          <w:rFonts w:ascii="CG Omega" w:hAnsi="CG Omega" w:cs="CG Omega"/>
        </w:rPr>
      </w:pPr>
      <w:r>
        <w:rPr>
          <w:rFonts w:cs="CG Omega" w:ascii="CG Omega" w:hAnsi="CG Omega"/>
        </w:rPr>
        <w:tab/>
        <w:t>In short, the past year has witnessed a notable increase in SEC activity, as the Commission has followed through on its promise to once again make foreign bribery an enforcement priority.  The ABNH and Baker-Hughes filings demonstrate that the SEC and the Department of Justice are coordinating efforts as never before, as shown by the coordinated filing of civil charges in the Baker-Hughes case, and the coordinated filing of civil and criminal charges in the ABNH case.</w:t>
      </w:r>
    </w:p>
    <w:p>
      <w:pPr>
        <w:pStyle w:val="Normal"/>
        <w:jc w:val="both"/>
        <w:rPr>
          <w:rFonts w:ascii="CG Omega" w:hAnsi="CG Omega" w:cs="CG Omega"/>
        </w:rPr>
      </w:pPr>
      <w:r>
        <w:rPr>
          <w:rFonts w:cs="CG Omega" w:ascii="CG Omega" w:hAnsi="CG Omega"/>
        </w:rPr>
      </w:r>
    </w:p>
    <w:p>
      <w:pPr>
        <w:pStyle w:val="Normal"/>
        <w:jc w:val="both"/>
        <w:rPr/>
      </w:pPr>
      <w:r>
        <w:rPr>
          <w:rFonts w:cs="CG Omega" w:ascii="CG Omega" w:hAnsi="CG Omega"/>
        </w:rPr>
        <w:tab/>
      </w:r>
      <w:r>
        <w:rPr>
          <w:rFonts w:cs="CG Omega" w:ascii="CG Omega" w:hAnsi="CG Omega"/>
          <w:b/>
        </w:rPr>
        <w:t>IV.</w:t>
        <w:tab/>
        <w:t>Foley &amp; Lardner Recommendations</w:t>
      </w:r>
    </w:p>
    <w:p>
      <w:pPr>
        <w:pStyle w:val="Normal"/>
        <w:jc w:val="both"/>
        <w:rPr>
          <w:rFonts w:ascii="CG Omega" w:hAnsi="CG Omega" w:cs="CG Omega"/>
          <w:b/>
        </w:rPr>
      </w:pPr>
      <w:r>
        <w:rPr>
          <w:rFonts w:cs="CG Omega" w:ascii="CG Omega" w:hAnsi="CG Omega"/>
          <w:b/>
        </w:rPr>
      </w:r>
    </w:p>
    <w:p>
      <w:pPr>
        <w:pStyle w:val="Normal"/>
        <w:jc w:val="both"/>
        <w:rPr>
          <w:rFonts w:ascii="CG Omega" w:hAnsi="CG Omega" w:cs="CG Omega"/>
        </w:rPr>
      </w:pPr>
      <w:r>
        <w:rPr>
          <w:rFonts w:cs="CG Omega" w:ascii="CG Omega" w:hAnsi="CG Omega"/>
        </w:rPr>
        <w:tab/>
        <w:t>We recommend the following for U.S. companies:</w:t>
      </w:r>
    </w:p>
    <w:p>
      <w:pPr>
        <w:pStyle w:val="Normal"/>
        <w:jc w:val="both"/>
        <w:rPr>
          <w:rFonts w:ascii="CG Omega" w:hAnsi="CG Omega" w:cs="CG Omega"/>
        </w:rPr>
      </w:pPr>
      <w:r>
        <w:rPr>
          <w:rFonts w:cs="CG Omega" w:ascii="CG Omega" w:hAnsi="CG Omega"/>
        </w:rPr>
      </w:r>
    </w:p>
    <w:p>
      <w:pPr>
        <w:pStyle w:val="Normal"/>
        <w:numPr>
          <w:ilvl w:val="0"/>
          <w:numId w:val="14"/>
        </w:numPr>
        <w:jc w:val="both"/>
        <w:rPr>
          <w:rFonts w:ascii="CG Omega" w:hAnsi="CG Omega" w:cs="CG Omega"/>
        </w:rPr>
      </w:pPr>
      <w:r>
        <w:rPr>
          <w:rFonts w:cs="CG Omega" w:ascii="CG Omega" w:hAnsi="CG Omega"/>
        </w:rPr>
        <w:t>Implement a comprehensive FCPA compliance program by, among other things, preparing and distributing a compliance handbook which includes information and guidance regarding the FCPA;</w:t>
      </w:r>
    </w:p>
    <w:p>
      <w:pPr>
        <w:pStyle w:val="Normal"/>
        <w:jc w:val="both"/>
        <w:rPr>
          <w:rFonts w:ascii="CG Omega" w:hAnsi="CG Omega" w:cs="CG Omega"/>
        </w:rPr>
      </w:pPr>
      <w:r>
        <w:rPr>
          <w:rFonts w:cs="CG Omega" w:ascii="CG Omega" w:hAnsi="CG Omega"/>
        </w:rPr>
      </w:r>
    </w:p>
    <w:p>
      <w:pPr>
        <w:pStyle w:val="Normal"/>
        <w:numPr>
          <w:ilvl w:val="0"/>
          <w:numId w:val="12"/>
        </w:numPr>
        <w:jc w:val="both"/>
        <w:rPr>
          <w:rFonts w:ascii="CG Omega" w:hAnsi="CG Omega" w:cs="CG Omega"/>
        </w:rPr>
      </w:pPr>
      <w:r>
        <w:rPr>
          <w:rFonts w:cs="CG Omega" w:ascii="CG Omega" w:hAnsi="CG Omega"/>
        </w:rPr>
        <w:t>Ensure that compliance audits of the business practices and accounting procedures of foreign-organized entities are performed in a timely and thorough manner in order to verify and conform such practices and procedures accordingly and to detect sensitive payments and other possible improprieties;</w:t>
      </w:r>
    </w:p>
    <w:p>
      <w:pPr>
        <w:pStyle w:val="Normal"/>
        <w:jc w:val="both"/>
        <w:rPr>
          <w:rFonts w:ascii="CG Omega" w:hAnsi="CG Omega" w:cs="CG Omega"/>
        </w:rPr>
      </w:pPr>
      <w:r>
        <w:rPr>
          <w:rFonts w:cs="CG Omega" w:ascii="CG Omega" w:hAnsi="CG Omega"/>
        </w:rPr>
      </w:r>
    </w:p>
    <w:p>
      <w:pPr>
        <w:pStyle w:val="Normal"/>
        <w:numPr>
          <w:ilvl w:val="0"/>
          <w:numId w:val="12"/>
        </w:numPr>
        <w:jc w:val="both"/>
        <w:rPr>
          <w:rFonts w:ascii="CG Omega" w:hAnsi="CG Omega" w:cs="CG Omega"/>
        </w:rPr>
      </w:pPr>
      <w:r>
        <w:rPr>
          <w:rFonts w:cs="CG Omega" w:ascii="CG Omega" w:hAnsi="CG Omega"/>
        </w:rPr>
        <w:t>Take serious remedial measures based on results of compliance audits;</w:t>
      </w:r>
    </w:p>
    <w:p>
      <w:pPr>
        <w:pStyle w:val="Normal"/>
        <w:jc w:val="both"/>
        <w:rPr>
          <w:rFonts w:ascii="CG Omega" w:hAnsi="CG Omega" w:cs="CG Omega"/>
        </w:rPr>
      </w:pPr>
      <w:r>
        <w:rPr>
          <w:rFonts w:cs="CG Omega" w:ascii="CG Omega" w:hAnsi="CG Omega"/>
        </w:rPr>
      </w:r>
    </w:p>
    <w:p>
      <w:pPr>
        <w:pStyle w:val="Normal"/>
        <w:numPr>
          <w:ilvl w:val="0"/>
          <w:numId w:val="11"/>
        </w:numPr>
        <w:jc w:val="both"/>
        <w:rPr>
          <w:rFonts w:ascii="CG Omega" w:hAnsi="CG Omega" w:cs="CG Omega"/>
        </w:rPr>
      </w:pPr>
      <w:r>
        <w:rPr>
          <w:rFonts w:cs="CG Omega" w:ascii="CG Omega" w:hAnsi="CG Omega"/>
        </w:rPr>
        <w:t>Designate qualified personnel to review monthly funding requests for reasonableness;</w:t>
      </w:r>
    </w:p>
    <w:p>
      <w:pPr>
        <w:pStyle w:val="Normal"/>
        <w:jc w:val="both"/>
        <w:rPr>
          <w:rFonts w:ascii="CG Omega" w:hAnsi="CG Omega" w:cs="CG Omega"/>
        </w:rPr>
      </w:pPr>
      <w:r>
        <w:rPr>
          <w:rFonts w:cs="CG Omega" w:ascii="CG Omega" w:hAnsi="CG Omega"/>
        </w:rPr>
      </w:r>
    </w:p>
    <w:p>
      <w:pPr>
        <w:pStyle w:val="Normal"/>
        <w:numPr>
          <w:ilvl w:val="0"/>
          <w:numId w:val="19"/>
        </w:numPr>
        <w:jc w:val="both"/>
        <w:rPr>
          <w:rFonts w:ascii="CG Omega" w:hAnsi="CG Omega" w:cs="CG Omega"/>
        </w:rPr>
      </w:pPr>
      <w:r>
        <w:rPr>
          <w:rFonts w:cs="CG Omega" w:ascii="CG Omega" w:hAnsi="CG Omega"/>
        </w:rPr>
        <w:t>Educate personnel regarding the importance that your company places on keeping accurate books and records that in reasonable detail describe the transactions and dispositions of assets;</w:t>
      </w:r>
    </w:p>
    <w:p>
      <w:pPr>
        <w:pStyle w:val="Normal"/>
        <w:jc w:val="both"/>
        <w:rPr>
          <w:rFonts w:ascii="CG Omega" w:hAnsi="CG Omega" w:cs="CG Omega"/>
        </w:rPr>
      </w:pPr>
      <w:r>
        <w:rPr>
          <w:rFonts w:cs="CG Omega" w:ascii="CG Omega" w:hAnsi="CG Omega"/>
        </w:rPr>
      </w:r>
    </w:p>
    <w:p>
      <w:pPr>
        <w:pStyle w:val="Normal"/>
        <w:numPr>
          <w:ilvl w:val="0"/>
          <w:numId w:val="18"/>
        </w:numPr>
        <w:jc w:val="both"/>
        <w:rPr>
          <w:rFonts w:ascii="CG Omega" w:hAnsi="CG Omega" w:cs="CG Omega"/>
        </w:rPr>
      </w:pPr>
      <w:r>
        <w:rPr>
          <w:rFonts w:cs="CG Omega" w:ascii="CG Omega" w:hAnsi="CG Omega"/>
        </w:rPr>
        <w:t>Designate compliance officers responsible for the education, training and monitoring of subsidiaries’ officers, directors, employees, agents and other representatives because  corporate policies must be followed throughout the entire company;</w:t>
      </w:r>
    </w:p>
    <w:p>
      <w:pPr>
        <w:pStyle w:val="Normal"/>
        <w:jc w:val="both"/>
        <w:rPr>
          <w:rFonts w:ascii="CG Omega" w:hAnsi="CG Omega" w:cs="CG Omega"/>
        </w:rPr>
      </w:pPr>
      <w:r>
        <w:rPr>
          <w:rFonts w:cs="CG Omega" w:ascii="CG Omega" w:hAnsi="CG Omega"/>
        </w:rPr>
      </w:r>
    </w:p>
    <w:p>
      <w:pPr>
        <w:pStyle w:val="Normal"/>
        <w:numPr>
          <w:ilvl w:val="0"/>
          <w:numId w:val="13"/>
        </w:numPr>
        <w:jc w:val="both"/>
        <w:rPr>
          <w:rFonts w:ascii="CG Omega" w:hAnsi="CG Omega" w:cs="CG Omega"/>
        </w:rPr>
      </w:pPr>
      <w:r>
        <w:rPr>
          <w:rFonts w:cs="CG Omega" w:ascii="CG Omega" w:hAnsi="CG Omega"/>
        </w:rPr>
        <w:t>Conduct annual FCPA training of personnel involved with or responsible for your company’s international operations, whether based in the United States or overseas.  In conjunction with an annual training program for such personnel, companies should provide FCPA training to all newly-hired personnel involved with or responsible for the company’s international operations, whether based in the United States or overseas;</w:t>
      </w:r>
    </w:p>
    <w:p>
      <w:pPr>
        <w:pStyle w:val="Normal"/>
        <w:jc w:val="both"/>
        <w:rPr>
          <w:rFonts w:ascii="CG Omega" w:hAnsi="CG Omega" w:cs="CG Omega"/>
        </w:rPr>
      </w:pPr>
      <w:r>
        <w:rPr>
          <w:rFonts w:cs="CG Omega" w:ascii="CG Omega" w:hAnsi="CG Omega"/>
        </w:rPr>
      </w:r>
    </w:p>
    <w:p>
      <w:pPr>
        <w:pStyle w:val="Normal"/>
        <w:numPr>
          <w:ilvl w:val="0"/>
          <w:numId w:val="15"/>
        </w:numPr>
        <w:jc w:val="both"/>
        <w:rPr>
          <w:rFonts w:ascii="CG Omega" w:hAnsi="CG Omega" w:cs="CG Omega"/>
        </w:rPr>
      </w:pPr>
      <w:r>
        <w:rPr>
          <w:rFonts w:cs="CG Omega" w:ascii="CG Omega" w:hAnsi="CG Omega"/>
        </w:rPr>
        <w:t>Make it evident that members of senior management, including the Law Department, are personally committed to compliance.  For example, we recommend that a company involve its senior officers in communicating to personnel any new policies or guidelines to be implemented.</w:t>
      </w:r>
    </w:p>
    <w:p>
      <w:pPr>
        <w:pStyle w:val="Normal"/>
        <w:rPr>
          <w:rFonts w:ascii="CG Omega" w:hAnsi="CG Omega" w:cs="CG Omega"/>
        </w:rPr>
      </w:pPr>
      <w:r>
        <w:rPr>
          <w:rFonts w:cs="CG Omega" w:ascii="CG Omega" w:hAnsi="CG Omega"/>
        </w:rPr>
      </w:r>
    </w:p>
    <w:p>
      <w:pPr>
        <w:pStyle w:val="Normal"/>
        <w:rPr>
          <w:rFonts w:ascii="CG Omega" w:hAnsi="CG Omega" w:cs="CG Omega"/>
        </w:rPr>
      </w:pPr>
      <w:r>
        <w:rPr>
          <w:rFonts w:cs="CG Omega" w:ascii="CG Omega" w:hAnsi="CG Omega"/>
        </w:rPr>
      </w:r>
      <w:r>
        <w:br w:type="page"/>
      </w:r>
    </w:p>
    <w:p>
      <w:pPr>
        <w:pStyle w:val="Normal"/>
        <w:rPr>
          <w:rFonts w:ascii="CG Omega" w:hAnsi="CG Omega" w:cs="CG Omega"/>
        </w:rPr>
      </w:pPr>
      <w:r>
        <w:rPr>
          <w:rFonts w:cs="CG Omega" w:ascii="CG Omega" w:hAnsi="CG Omega"/>
        </w:rPr>
        <w:tab/>
        <w:t>If you would like additional information regarding these or other FCPA issues, please contact:</w:t>
      </w:r>
    </w:p>
    <w:p>
      <w:pPr>
        <w:pStyle w:val="BlockText"/>
        <w:ind w:start="0" w:end="1440"/>
        <w:jc w:val="both"/>
        <w:rPr>
          <w:rFonts w:ascii="CG Omega" w:hAnsi="CG Omega" w:cs="CG Omega"/>
        </w:rPr>
      </w:pPr>
      <w:r>
        <w:rPr>
          <w:rFonts w:cs="CG Omega" w:ascii="CG Omega" w:hAnsi="CG Omega"/>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i/>
          <w:i/>
        </w:rPr>
      </w:pPr>
      <w:r>
        <w:rPr>
          <w:rFonts w:cs="CG Omega" w:ascii="CG Omega" w:hAnsi="CG Omega"/>
          <w:i/>
        </w:rPr>
        <w:t>Foley &amp; Lardner</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i/>
          <w:i/>
        </w:rPr>
      </w:pPr>
      <w:r>
        <w:rPr>
          <w:rFonts w:cs="CG Omega" w:ascii="CG Omega" w:hAnsi="CG Omega"/>
          <w:i/>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rPr>
      </w:pPr>
      <w:r>
        <w:rPr>
          <w:rFonts w:cs="CG Omega" w:ascii="CG Omega" w:hAnsi="CG Omega"/>
          <w:b/>
        </w:rPr>
        <w:t>Gregory S. Bruch</w:t>
      </w:r>
      <w:r>
        <w:rPr>
          <w:rStyle w:val="FootnoteReference"/>
          <w:rFonts w:cs="CG Omega" w:ascii="CG Omega" w:hAnsi="CG Omega"/>
          <w:b/>
          <w:vertAlign w:val="superscript"/>
        </w:rPr>
        <w:footnoteReference w:id="6"/>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rPr>
      </w:pPr>
      <w:r>
        <w:rPr>
          <w:rFonts w:cs="CG Omega" w:ascii="CG Omega" w:hAnsi="CG Omega"/>
        </w:rPr>
        <w:t>(202) 672-5460</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rPr>
      </w:pPr>
      <w:r>
        <w:rPr>
          <w:rFonts w:cs="CG Omega" w:ascii="CG Omega" w:hAnsi="CG Omega"/>
          <w:i/>
        </w:rPr>
        <w:t>Compliance, Counseling and Government Enforcement Practice Group</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rPr>
      </w:pPr>
      <w:r>
        <w:rPr>
          <w:rFonts w:cs="CG Omega" w:ascii="CG Omega" w:hAnsi="CG Omega"/>
        </w:rPr>
        <w:t>gbruch@foleylaw.com</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rPr>
      </w:pPr>
      <w:r>
        <w:rPr>
          <w:rFonts w:cs="CG Omega" w:ascii="CG Omega" w:hAnsi="CG Omega"/>
          <w:b/>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rPr>
      </w:pPr>
      <w:r>
        <w:rPr>
          <w:rFonts w:cs="CG Omega" w:ascii="CG Omega" w:hAnsi="CG Omega"/>
          <w:b/>
        </w:rPr>
        <w:t>Sharie A. Brown</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rPr>
      </w:pPr>
      <w:r>
        <w:rPr>
          <w:rFonts w:cs="CG Omega" w:ascii="CG Omega" w:hAnsi="CG Omega"/>
        </w:rPr>
        <w:t>(202) 672-5494</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i/>
          <w:i/>
        </w:rPr>
      </w:pPr>
      <w:r>
        <w:rPr>
          <w:rFonts w:cs="CG Omega" w:ascii="CG Omega" w:hAnsi="CG Omega"/>
          <w:i/>
        </w:rPr>
        <w:t>Compliance, Counseling and Government Enforcement Practice Group</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rPr>
      </w:pPr>
      <w:hyperlink r:id="rId6">
        <w:r>
          <w:rPr>
            <w:rStyle w:val="Hyperlink"/>
            <w:rFonts w:cs="CG Omega" w:ascii="CG Omega" w:hAnsi="CG Omega"/>
          </w:rPr>
          <w:t>sbrown@foleylaw.com</w:t>
        </w:r>
      </w:hyperlink>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rPr>
      </w:pPr>
      <w:r>
        <w:rPr>
          <w:rFonts w:cs="CG Omega" w:ascii="CG Omega" w:hAnsi="CG Omega"/>
          <w:b/>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rPr>
      </w:pPr>
      <w:r>
        <w:rPr>
          <w:rFonts w:cs="CG Omega" w:ascii="CG Omega" w:hAnsi="CG Omega"/>
          <w:b/>
        </w:rPr>
        <w:t>Robert J. Meyer</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rPr>
      </w:pPr>
      <w:r>
        <w:rPr>
          <w:rFonts w:cs="CG Omega" w:ascii="CG Omega" w:hAnsi="CG Omega"/>
        </w:rPr>
        <w:t>(202) 672-5366</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rPr>
      </w:pPr>
      <w:r>
        <w:rPr>
          <w:rFonts w:cs="CG Omega" w:ascii="CG Omega" w:hAnsi="CG Omega"/>
          <w:i/>
        </w:rPr>
        <w:t>Compliance, Counseling and Government Enforcement Practice Group</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rPr>
      </w:pPr>
      <w:r>
        <w:rPr>
          <w:rFonts w:cs="CG Omega" w:ascii="CG Omega" w:hAnsi="CG Omega"/>
        </w:rPr>
        <w:t>rmeyer@foleylaw.com</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rPr>
      </w:pPr>
      <w:r>
        <w:rPr>
          <w:rFonts w:cs="CG Omega" w:ascii="CG Omega" w:hAnsi="CG Omega"/>
          <w:b/>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rPr>
      </w:pPr>
      <w:r>
        <w:rPr>
          <w:rFonts w:cs="CG Omega" w:ascii="CG Omega" w:hAnsi="CG Omega"/>
          <w:b/>
        </w:rPr>
        <w:t>Martin J. Weinstein</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rPr>
      </w:pPr>
      <w:r>
        <w:rPr>
          <w:rFonts w:cs="CG Omega" w:ascii="CG Omega" w:hAnsi="CG Omega"/>
        </w:rPr>
        <w:t>(202) 672-5435</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rPr>
      </w:pPr>
      <w:r>
        <w:rPr>
          <w:rFonts w:cs="CG Omega" w:ascii="CG Omega" w:hAnsi="CG Omega"/>
          <w:i/>
        </w:rPr>
        <w:t>Chairman, Compliance, Counseling and Government Enforcement Practice Group</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rPr>
      </w:pPr>
      <w:r>
        <w:rPr>
          <w:rFonts w:cs="CG Omega" w:ascii="CG Omega" w:hAnsi="CG Omega"/>
        </w:rPr>
        <w:t>mweinstein@foleylaw.com</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Fonts w:cs="CG Omega" w:ascii="CG Omega" w:hAnsi="CG Omega"/>
          <w:sz w:val="23"/>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Fonts w:cs="CG Omega" w:ascii="CG Omega" w:hAnsi="CG Omega"/>
          <w:sz w:val="23"/>
        </w:rPr>
      </w:r>
    </w:p>
    <w:p>
      <w:pPr>
        <w:pStyle w:val="Normal"/>
        <w:pBdr>
          <w:top w:val="double" w:sz="6" w:space="1" w:color="000000"/>
          <w:left w:val="double" w:sz="6" w:space="4" w:color="000000"/>
          <w:bottom w:val="double" w:sz="6" w:space="1" w:color="000000"/>
          <w:right w:val="double" w:sz="6" w:space="4" w:color="000000"/>
        </w:pBdr>
        <w:jc w:val="both"/>
        <w:rPr>
          <w:rFonts w:ascii="Univers (W1);Arial" w:hAnsi="Univers (W1);Arial" w:cs="Univers (W1);Arial"/>
          <w:sz w:val="23"/>
        </w:rPr>
      </w:pPr>
      <w:r>
        <w:rPr>
          <w:rFonts w:cs="Univers (W1);Arial" w:ascii="Univers (W1);Arial" w:hAnsi="Univers (W1);Arial"/>
          <w:sz w:val="23"/>
        </w:rPr>
      </w:r>
    </w:p>
    <w:p>
      <w:pPr>
        <w:pStyle w:val="Normal"/>
        <w:jc w:val="both"/>
        <w:rPr>
          <w:rFonts w:ascii="Univers (W1);Arial" w:hAnsi="Univers (W1);Arial" w:cs="Univers (W1);Arial"/>
          <w:sz w:val="23"/>
        </w:rPr>
      </w:pPr>
      <w:r>
        <w:rPr>
          <w:rFonts w:cs="Univers (W1);Arial" w:ascii="Univers (W1);Arial" w:hAnsi="Univers (W1);Arial"/>
          <w:sz w:val="23"/>
        </w:rPr>
      </w:r>
    </w:p>
    <w:p>
      <w:pPr>
        <w:pStyle w:val="Normal"/>
        <w:jc w:val="both"/>
        <w:rPr>
          <w:sz w:val="23"/>
        </w:rPr>
      </w:pPr>
      <w:r>
        <w:rPr>
          <w:sz w:val="23"/>
        </w:rPr>
      </w:r>
    </w:p>
    <w:p>
      <w:pPr>
        <w:pStyle w:val="Normal"/>
        <w:rPr>
          <w:sz w:val="23"/>
        </w:rPr>
      </w:pPr>
      <w:r>
        <w:rPr>
          <w:sz w:val="23"/>
        </w:rPr>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CG Omega">
    <w:charset w:val="00" w:characterSet="windows-1252"/>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r>
      <mc:AlternateContent>
        <mc:Choice Requires="wps">
          <w:drawing>
            <wp:anchor behindDoc="0" distT="118745" distB="118745" distL="118745" distR="118745" simplePos="0" locked="0" layoutInCell="0" allowOverlap="1" relativeHeight="7">
              <wp:simplePos x="0" y="0"/>
              <wp:positionH relativeFrom="page">
                <wp:posOffset>330835</wp:posOffset>
              </wp:positionH>
              <wp:positionV relativeFrom="page">
                <wp:posOffset>9584690</wp:posOffset>
              </wp:positionV>
              <wp:extent cx="1118235" cy="280035"/>
              <wp:effectExtent l="0" t="0" r="0" b="0"/>
              <wp:wrapSquare wrapText="bothSides"/>
              <wp:docPr id="2" name="Frame3"/>
              <a:graphic xmlns:a="http://schemas.openxmlformats.org/drawingml/2006/main">
                <a:graphicData uri="http://schemas.microsoft.com/office/word/2010/wordprocessingShape">
                  <wps:wsp>
                    <wps:cNvSpPr txBox="1"/>
                    <wps:spPr>
                      <a:xfrm>
                        <a:off x="0" y="0"/>
                        <a:ext cx="1118235" cy="280035"/>
                      </a:xfrm>
                      <a:prstGeom prst="rect"/>
                      <a:solidFill>
                        <a:srgbClr val="FFFFFF">
                          <a:alpha val="0"/>
                        </a:srgbClr>
                      </a:solidFill>
                    </wps:spPr>
                    <wps:txbx>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p>
                      </w:txbxContent>
                    </wps:txbx>
                    <wps:bodyPr anchor="t" lIns="0" tIns="0" rIns="0" bIns="0">
                      <a:noAutofit/>
                    </wps:bodyPr>
                  </wps:wsp>
                </a:graphicData>
              </a:graphic>
            </wp:anchor>
          </w:drawing>
        </mc:Choice>
        <mc:Fallback>
          <w:pict>
            <v:rect fillcolor="#FFFFFF" style="position:absolute;rotation:-0;width:88.05pt;height:22.05pt;mso-wrap-distance-left:9.35pt;mso-wrap-distance-right:9.35pt;mso-wrap-distance-top:9.35pt;mso-wrap-distance-bottom:9.35pt;margin-top:754.7pt;mso-position-vertical-relative:page;margin-left:26.05pt;mso-position-horizontal-relative:page">
              <v:fill opacity="0f"/>
              <v:textbox inset="0in,0in,0in,0in">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p>
                </w:txbxContent>
              </v:textbox>
              <w10:wrap type="square"/>
            </v:rect>
          </w:pict>
        </mc:Fallback>
      </mc:AlternateContent>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118745" distB="118745" distL="118745" distR="118745" simplePos="0" locked="0" layoutInCell="0" allowOverlap="1" relativeHeight="2">
              <wp:simplePos x="0" y="0"/>
              <wp:positionH relativeFrom="page">
                <wp:posOffset>330835</wp:posOffset>
              </wp:positionH>
              <wp:positionV relativeFrom="page">
                <wp:posOffset>9584690</wp:posOffset>
              </wp:positionV>
              <wp:extent cx="1118235" cy="280035"/>
              <wp:effectExtent l="0" t="0" r="0" b="0"/>
              <wp:wrapSquare wrapText="bothSides"/>
              <wp:docPr id="3" name="Frame2"/>
              <a:graphic xmlns:a="http://schemas.openxmlformats.org/drawingml/2006/main">
                <a:graphicData uri="http://schemas.microsoft.com/office/word/2010/wordprocessingShape">
                  <wps:wsp>
                    <wps:cNvSpPr txBox="1"/>
                    <wps:spPr>
                      <a:xfrm>
                        <a:off x="0" y="0"/>
                        <a:ext cx="1118235" cy="280035"/>
                      </a:xfrm>
                      <a:prstGeom prst="rect"/>
                      <a:solidFill>
                        <a:srgbClr val="FFFFFF">
                          <a:alpha val="0"/>
                        </a:srgbClr>
                      </a:solidFill>
                    </wps:spPr>
                    <wps:txbx>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p>
                      </w:txbxContent>
                    </wps:txbx>
                    <wps:bodyPr anchor="t" lIns="0" tIns="0" rIns="0" bIns="0">
                      <a:noAutofit/>
                    </wps:bodyPr>
                  </wps:wsp>
                </a:graphicData>
              </a:graphic>
            </wp:anchor>
          </w:drawing>
        </mc:Choice>
        <mc:Fallback>
          <w:pict>
            <v:rect fillcolor="#FFFFFF" style="position:absolute;rotation:-0;width:88.05pt;height:22.05pt;mso-wrap-distance-left:9.35pt;mso-wrap-distance-right:9.35pt;mso-wrap-distance-top:9.35pt;mso-wrap-distance-bottom:9.35pt;margin-top:754.7pt;mso-position-vertical-relative:page;margin-left:26.05pt;mso-position-horizontal-relative:page">
              <v:fill opacity="0f"/>
              <v:textbox inset="0in,0in,0in,0in">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002.668472</w:t>
                    </w:r>
                    <w:r>
                      <w:rPr>
                        <w:sz w:val="16"/>
                        <w:rFonts w:cs="Arial" w:ascii="Arial" w:hAnsi="Arial"/>
                        <w:lang w:val="en-CA"/>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FirstIndent3"/>
        <w:spacing w:lineRule="auto" w:line="240"/>
        <w:jc w:val="both"/>
        <w:rPr/>
      </w:pPr>
      <w:r>
        <w:rPr>
          <w:rStyle w:val="FootnoteCharacters"/>
        </w:rPr>
        <w:footnoteRef/>
      </w:r>
      <w:r>
        <w:rPr/>
        <w:t xml:space="preserve"> </w:t>
      </w:r>
      <w:r>
        <w:rPr>
          <w:rFonts w:cs="CG Omega" w:ascii="CG Omega" w:hAnsi="CG Omega"/>
          <w:sz w:val="18"/>
        </w:rPr>
        <w:t>The FCPA antibribery provisions apply to “issuers,” “domestic concerns,” and “any person” who violates the FCPA while in the United States.  The term “any person” includes foreign persons and corporations.  Foreign persons are subject to the FCPA only when they perform an act in furtherance of a bribe while in the United States or its territories.</w:t>
      </w:r>
    </w:p>
    <w:p>
      <w:pPr>
        <w:pStyle w:val="BodyTextFirstIndent3"/>
        <w:spacing w:lineRule="auto" w:line="240"/>
        <w:jc w:val="both"/>
        <w:rPr>
          <w:rFonts w:ascii="CG Omega" w:hAnsi="CG Omega" w:eastAsia="CG Omega" w:cs="CG Omega"/>
          <w:sz w:val="18"/>
        </w:rPr>
      </w:pPr>
      <w:r>
        <w:rPr>
          <w:rFonts w:eastAsia="CG Omega" w:cs="CG Omega" w:ascii="CG Omega" w:hAnsi="CG Omega"/>
          <w:sz w:val="18"/>
        </w:rPr>
        <w:t xml:space="preserve">  </w:t>
      </w:r>
    </w:p>
  </w:footnote>
  <w:footnote w:id="3">
    <w:p>
      <w:pPr>
        <w:pStyle w:val="BodyTextFirstIndent3"/>
        <w:spacing w:lineRule="auto" w:line="480"/>
        <w:jc w:val="both"/>
        <w:rPr/>
      </w:pPr>
      <w:r>
        <w:rPr>
          <w:rStyle w:val="FootnoteCharacters"/>
        </w:rPr>
        <w:footnoteRef/>
      </w:r>
      <w:r>
        <w:rPr/>
        <w:t xml:space="preserve"> </w:t>
      </w:r>
      <w:r>
        <w:rPr>
          <w:rFonts w:cs="CG Omega" w:ascii="CG Omega" w:hAnsi="CG Omega"/>
          <w:sz w:val="18"/>
        </w:rPr>
        <w:t xml:space="preserve">Exchange Act, § 30(A) (codified as 15 U.S.C. § 78dd-1, </w:t>
      </w:r>
      <w:r>
        <w:rPr>
          <w:rFonts w:cs="CG Omega" w:ascii="CG Omega" w:hAnsi="CG Omega"/>
          <w:i/>
          <w:sz w:val="18"/>
        </w:rPr>
        <w:t>et seq</w:t>
      </w:r>
      <w:r>
        <w:rPr>
          <w:rFonts w:cs="CG Omega" w:ascii="CG Omega" w:hAnsi="CG Omega"/>
          <w:sz w:val="18"/>
        </w:rPr>
        <w:t>).</w:t>
      </w:r>
    </w:p>
  </w:footnote>
  <w:footnote w:id="4">
    <w:p>
      <w:pPr>
        <w:pStyle w:val="BodyTextFirstIndent3"/>
        <w:jc w:val="both"/>
        <w:rPr/>
      </w:pPr>
      <w:r>
        <w:rPr>
          <w:rStyle w:val="FootnoteCharacters"/>
        </w:rPr>
        <w:footnoteRef/>
      </w:r>
      <w:r>
        <w:rPr/>
        <w:t xml:space="preserve"> </w:t>
      </w:r>
      <w:r>
        <w:rPr>
          <w:rFonts w:cs="CG Omega" w:ascii="CG Omega" w:hAnsi="CG Omega"/>
          <w:sz w:val="18"/>
        </w:rPr>
        <w:t>Exchange Act, § 13(b)(2)(A)-(B) (codified as 15 U.S.C. §§ 78m(b)(2)(A)-(B)).</w:t>
      </w:r>
    </w:p>
  </w:footnote>
  <w:footnote w:id="5">
    <w:p>
      <w:pPr>
        <w:pStyle w:val="BodyTextFirstIndent3"/>
        <w:rPr/>
      </w:pPr>
      <w:r>
        <w:rPr>
          <w:rStyle w:val="FootnoteCharacters"/>
        </w:rPr>
        <w:footnoteRef/>
      </w:r>
      <w:r>
        <w:rPr>
          <w:vertAlign w:val="superscript"/>
        </w:rPr>
        <w:t xml:space="preserve"> </w:t>
      </w:r>
      <w:r>
        <w:rPr>
          <w:rFonts w:cs="CG Omega" w:ascii="CG Omega" w:hAnsi="CG Omega"/>
          <w:color w:val="000000"/>
          <w:sz w:val="18"/>
        </w:rPr>
        <w:t>No scienter of any kind is required for a civil violation.</w:t>
      </w:r>
    </w:p>
  </w:footnote>
  <w:footnote w:id="6">
    <w:p>
      <w:pPr>
        <w:pStyle w:val="BodyTextFirstIndent3"/>
        <w:spacing w:lineRule="auto" w:line="240"/>
        <w:jc w:val="both"/>
        <w:rPr/>
      </w:pPr>
      <w:r>
        <w:rPr>
          <w:rStyle w:val="FootnoteCharacters"/>
        </w:rPr>
        <w:footnoteRef/>
      </w:r>
      <w:r>
        <w:rPr>
          <w:sz w:val="22"/>
        </w:rPr>
        <w:t xml:space="preserve"> </w:t>
      </w:r>
      <w:r>
        <w:rPr>
          <w:rFonts w:cs="CG Omega" w:ascii="CG Omega" w:hAnsi="CG Omega"/>
          <w:sz w:val="18"/>
        </w:rPr>
        <w:t xml:space="preserve">Mr.  Bruch recently joined Foley &amp; Lardner as a partner after working at the SEC for 12 years, the last six of which were spent as an Assistant Director at Division of Enforcement.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u w:val="none"/>
      </w:rPr>
    </w:lvl>
    <w:lvl w:ilvl="1">
      <w:start w:val="1"/>
      <w:pStyle w:val="Heading2"/>
      <w:numFmt w:val="lowerLetter"/>
      <w:lvlText w:val="%2."/>
      <w:lvlJc w:val="start"/>
      <w:pPr>
        <w:tabs>
          <w:tab w:val="num" w:pos="1800"/>
        </w:tabs>
        <w:ind w:start="720" w:firstLine="720"/>
      </w:pPr>
      <w:rPr>
        <w:u w:val="none"/>
      </w:rPr>
    </w:lvl>
    <w:lvl w:ilvl="2">
      <w:start w:val="1"/>
      <w:pStyle w:val="Heading3"/>
      <w:numFmt w:val="lowerRoman"/>
      <w:lvlText w:val="%3."/>
      <w:lvlJc w:val="start"/>
      <w:pPr>
        <w:tabs>
          <w:tab w:val="num" w:pos="2880"/>
        </w:tabs>
        <w:ind w:start="1440" w:firstLine="720"/>
      </w:pPr>
      <w:rPr>
        <w:u w:val="none"/>
      </w:rPr>
    </w:lvl>
    <w:lvl w:ilvl="3">
      <w:start w:val="1"/>
      <w:pStyle w:val="Heading4"/>
      <w:numFmt w:val="decimal"/>
      <w:lvlText w:val="(%4)"/>
      <w:lvlJc w:val="start"/>
      <w:pPr>
        <w:tabs>
          <w:tab w:val="num" w:pos="3240"/>
        </w:tabs>
        <w:ind w:start="2160" w:firstLine="720"/>
      </w:pPr>
      <w:rPr>
        <w:u w:val="none"/>
      </w:rPr>
    </w:lvl>
    <w:lvl w:ilvl="4">
      <w:start w:val="1"/>
      <w:pStyle w:val="Heading5"/>
      <w:numFmt w:val="lowerLetter"/>
      <w:lvlText w:val="(%5)"/>
      <w:lvlJc w:val="start"/>
      <w:pPr>
        <w:tabs>
          <w:tab w:val="num" w:pos="3960"/>
        </w:tabs>
        <w:ind w:start="2880" w:firstLine="720"/>
      </w:pPr>
      <w:rPr>
        <w:u w:val="none"/>
      </w:rPr>
    </w:lvl>
    <w:lvl w:ilvl="5">
      <w:start w:val="1"/>
      <w:pStyle w:val="Heading6"/>
      <w:numFmt w:val="lowerRoman"/>
      <w:lvlText w:val="(%6)"/>
      <w:lvlJc w:val="start"/>
      <w:pPr>
        <w:tabs>
          <w:tab w:val="num" w:pos="5040"/>
        </w:tabs>
        <w:ind w:start="3600" w:firstLine="720"/>
      </w:pPr>
      <w:rPr>
        <w:u w:val="none"/>
      </w:rPr>
    </w:lvl>
    <w:lvl w:ilvl="6">
      <w:start w:val="1"/>
      <w:pStyle w:val="Heading7"/>
      <w:numFmt w:val="decimal"/>
      <w:lvlText w:val="%7)"/>
      <w:lvlJc w:val="start"/>
      <w:pPr>
        <w:tabs>
          <w:tab w:val="num" w:pos="5400"/>
        </w:tabs>
        <w:ind w:start="4320" w:firstLine="720"/>
      </w:pPr>
      <w:rPr>
        <w:u w:val="none"/>
      </w:rPr>
    </w:lvl>
    <w:lvl w:ilvl="7">
      <w:start w:val="1"/>
      <w:pStyle w:val="Heading8"/>
      <w:numFmt w:val="lowerLetter"/>
      <w:lvlText w:val="%8)"/>
      <w:lvlJc w:val="start"/>
      <w:pPr>
        <w:tabs>
          <w:tab w:val="num" w:pos="6120"/>
        </w:tabs>
        <w:ind w:start="5040" w:firstLine="720"/>
      </w:pPr>
      <w:rPr>
        <w:u w:val="none"/>
      </w:rPr>
    </w:lvl>
    <w:lvl w:ilvl="8">
      <w:start w:val="1"/>
      <w:pStyle w:val="Heading9"/>
      <w:numFmt w:val="upperLetter"/>
      <w:suff w:val="nothing"/>
      <w:lvlText w:val="EXHIBIT %9"/>
      <w:lvlJc w:val="start"/>
      <w:pPr>
        <w:tabs>
          <w:tab w:val="num" w:pos="0"/>
        </w:tabs>
        <w:ind w:start="0" w:hanging="0"/>
      </w:pPr>
      <w:rPr>
        <w:u w:val="none"/>
      </w:rPr>
    </w:lvl>
  </w:abstractNum>
  <w:abstractNum w:abstractNumId="2">
    <w:lvl w:ilvl="0">
      <w:start w:val="1"/>
      <w:numFmt w:val="decimal"/>
      <w:lvlText w:val="%1."/>
      <w:lvlJc w:val="start"/>
      <w:pPr>
        <w:tabs>
          <w:tab w:val="num" w:pos="1800"/>
        </w:tabs>
        <w:ind w:start="0" w:firstLine="1440"/>
      </w:pPr>
      <w:rPr>
        <w:u w:val="none"/>
      </w:rPr>
    </w:lvl>
  </w:abstractNum>
  <w:abstractNum w:abstractNumId="3">
    <w:lvl w:ilvl="0">
      <w:start w:val="1"/>
      <w:numFmt w:val="decimal"/>
      <w:lvlText w:val="%1."/>
      <w:lvlJc w:val="start"/>
      <w:pPr>
        <w:tabs>
          <w:tab w:val="num" w:pos="1080"/>
        </w:tabs>
        <w:ind w:start="0" w:firstLine="720"/>
      </w:pPr>
      <w:rPr>
        <w:u w:val="none"/>
      </w:rPr>
    </w:lvl>
  </w:abstractNum>
  <w:abstractNum w:abstractNumId="4">
    <w:lvl w:ilvl="0">
      <w:start w:val="1"/>
      <w:numFmt w:val="decimal"/>
      <w:lvlText w:val="%1."/>
      <w:lvlJc w:val="start"/>
      <w:pPr>
        <w:tabs>
          <w:tab w:val="num" w:pos="2160"/>
        </w:tabs>
        <w:ind w:start="2160" w:hanging="720"/>
      </w:pPr>
      <w:rPr>
        <w:u w:val="none"/>
      </w:rPr>
    </w:lvl>
  </w:abstractNum>
  <w:abstractNum w:abstractNumId="5">
    <w:lvl w:ilvl="0">
      <w:start w:val="1"/>
      <w:numFmt w:val="decimal"/>
      <w:lvlText w:val="%1."/>
      <w:lvlJc w:val="start"/>
      <w:pPr>
        <w:tabs>
          <w:tab w:val="num" w:pos="1440"/>
        </w:tabs>
        <w:ind w:start="1440" w:hanging="720"/>
      </w:pPr>
      <w:rPr>
        <w:u w:val="none"/>
      </w:rPr>
    </w:lvl>
  </w:abstractNum>
  <w:abstractNum w:abstractNumId="6">
    <w:lvl w:ilvl="0">
      <w:start w:val="1"/>
      <w:numFmt w:val="bullet"/>
      <w:lvlText w:val=""/>
      <w:lvlJc w:val="start"/>
      <w:pPr>
        <w:tabs>
          <w:tab w:val="num" w:pos="3600"/>
        </w:tabs>
        <w:ind w:start="3600" w:hanging="720"/>
      </w:pPr>
      <w:rPr>
        <w:rFonts w:ascii="Marlett" w:hAnsi="Marlett" w:cs="Marlett" w:hint="default"/>
        <w:sz w:val="22"/>
        <w:color w:val="auto"/>
      </w:rPr>
    </w:lvl>
  </w:abstractNum>
  <w:abstractNum w:abstractNumId="7">
    <w:lvl w:ilvl="0">
      <w:start w:val="1"/>
      <w:numFmt w:val="bullet"/>
      <w:lvlText w:val=""/>
      <w:lvlJc w:val="start"/>
      <w:pPr>
        <w:tabs>
          <w:tab w:val="num" w:pos="2880"/>
        </w:tabs>
        <w:ind w:start="2880" w:hanging="720"/>
      </w:pPr>
      <w:rPr>
        <w:rFonts w:ascii="Marlett" w:hAnsi="Marlett" w:cs="Marlett" w:hint="default"/>
        <w:sz w:val="22"/>
        <w:color w:val="auto"/>
      </w:rPr>
    </w:lvl>
  </w:abstractNum>
  <w:abstractNum w:abstractNumId="8">
    <w:lvl w:ilvl="0">
      <w:start w:val="1"/>
      <w:numFmt w:val="bullet"/>
      <w:lvlText w:val=""/>
      <w:lvlJc w:val="start"/>
      <w:pPr>
        <w:tabs>
          <w:tab w:val="num" w:pos="2160"/>
        </w:tabs>
        <w:ind w:start="2160" w:hanging="720"/>
      </w:pPr>
      <w:rPr>
        <w:rFonts w:ascii="Marlett" w:hAnsi="Marlett" w:cs="Marlett" w:hint="default"/>
        <w:sz w:val="22"/>
        <w:color w:val="auto"/>
      </w:rPr>
    </w:lvl>
  </w:abstractNum>
  <w:abstractNum w:abstractNumId="9">
    <w:lvl w:ilvl="0">
      <w:start w:val="1"/>
      <w:numFmt w:val="bullet"/>
      <w:lvlText w:val=""/>
      <w:lvlJc w:val="start"/>
      <w:pPr>
        <w:tabs>
          <w:tab w:val="num" w:pos="1440"/>
        </w:tabs>
        <w:ind w:start="1440" w:hanging="720"/>
      </w:pPr>
      <w:rPr>
        <w:rFonts w:ascii="Marlett" w:hAnsi="Marlett" w:cs="Marlett" w:hint="default"/>
        <w:sz w:val="22"/>
        <w:color w:val="auto"/>
      </w:rPr>
    </w:lvl>
  </w:abstractNum>
  <w:abstractNum w:abstractNumId="10">
    <w:lvl w:ilvl="0">
      <w:start w:val="1"/>
      <w:numFmt w:val="decimal"/>
      <w:lvlText w:val="%1."/>
      <w:lvlJc w:val="start"/>
      <w:pPr>
        <w:tabs>
          <w:tab w:val="num" w:pos="720"/>
        </w:tabs>
        <w:ind w:start="720" w:hanging="720"/>
      </w:pPr>
      <w:rPr>
        <w:u w:val="none"/>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decimal"/>
      <w:lvlText w:val="%1."/>
      <w:lvlJc w:val="start"/>
      <w:pPr>
        <w:tabs>
          <w:tab w:val="num" w:pos="1080"/>
        </w:tabs>
        <w:ind w:start="0" w:firstLine="720"/>
      </w:pPr>
      <w:rPr>
        <w:u w:val="none"/>
      </w:rPr>
    </w:lvl>
    <w:lvl w:ilvl="1">
      <w:start w:val="1"/>
      <w:numFmt w:val="lowerLetter"/>
      <w:lvlText w:val="%2."/>
      <w:lvlJc w:val="start"/>
      <w:pPr>
        <w:tabs>
          <w:tab w:val="num" w:pos="1800"/>
        </w:tabs>
        <w:ind w:start="720" w:firstLine="720"/>
      </w:pPr>
      <w:rPr>
        <w:u w:val="none"/>
      </w:rPr>
    </w:lvl>
    <w:lvl w:ilvl="2">
      <w:start w:val="1"/>
      <w:numFmt w:val="lowerRoman"/>
      <w:lvlText w:val="%3."/>
      <w:lvlJc w:val="start"/>
      <w:pPr>
        <w:tabs>
          <w:tab w:val="num" w:pos="2880"/>
        </w:tabs>
        <w:ind w:start="1440" w:firstLine="720"/>
      </w:pPr>
      <w:rPr>
        <w:u w:val="none"/>
      </w:rPr>
    </w:lvl>
    <w:lvl w:ilvl="3">
      <w:start w:val="1"/>
      <w:numFmt w:val="decimal"/>
      <w:lvlText w:val="(%4)"/>
      <w:lvlJc w:val="start"/>
      <w:pPr>
        <w:tabs>
          <w:tab w:val="num" w:pos="3240"/>
        </w:tabs>
        <w:ind w:start="2160" w:firstLine="720"/>
      </w:pPr>
      <w:rPr>
        <w:u w:val="none"/>
      </w:rPr>
    </w:lvl>
    <w:lvl w:ilvl="4">
      <w:start w:val="1"/>
      <w:numFmt w:val="lowerLetter"/>
      <w:lvlText w:val="(%5)"/>
      <w:lvlJc w:val="start"/>
      <w:pPr>
        <w:tabs>
          <w:tab w:val="num" w:pos="3960"/>
        </w:tabs>
        <w:ind w:start="2880" w:firstLine="720"/>
      </w:pPr>
      <w:rPr>
        <w:u w:val="none"/>
      </w:rPr>
    </w:lvl>
    <w:lvl w:ilvl="5">
      <w:start w:val="1"/>
      <w:numFmt w:val="lowerRoman"/>
      <w:lvlText w:val="(%6)"/>
      <w:lvlJc w:val="start"/>
      <w:pPr>
        <w:tabs>
          <w:tab w:val="num" w:pos="5040"/>
        </w:tabs>
        <w:ind w:start="3600" w:firstLine="720"/>
      </w:pPr>
      <w:rPr>
        <w:u w:val="none"/>
      </w:rPr>
    </w:lvl>
    <w:lvl w:ilvl="6">
      <w:start w:val="1"/>
      <w:numFmt w:val="decimal"/>
      <w:lvlText w:val="%7)"/>
      <w:lvlJc w:val="start"/>
      <w:pPr>
        <w:tabs>
          <w:tab w:val="num" w:pos="5400"/>
        </w:tabs>
        <w:ind w:start="4320" w:firstLine="720"/>
      </w:pPr>
      <w:rPr>
        <w:u w:val="none"/>
      </w:rPr>
    </w:lvl>
    <w:lvl w:ilvl="7">
      <w:start w:val="1"/>
      <w:numFmt w:val="lowerLetter"/>
      <w:lvlText w:val="%8)"/>
      <w:lvlJc w:val="start"/>
      <w:pPr>
        <w:tabs>
          <w:tab w:val="num" w:pos="6120"/>
        </w:tabs>
        <w:ind w:start="5040" w:firstLine="720"/>
      </w:pPr>
      <w:rPr>
        <w:u w:val="none"/>
      </w:rPr>
    </w:lvl>
    <w:lvl w:ilvl="8">
      <w:start w:val="1"/>
      <w:numFmt w:val="lowerRoman"/>
      <w:lvlText w:val="%9)"/>
      <w:lvlJc w:val="start"/>
      <w:pPr>
        <w:tabs>
          <w:tab w:val="num" w:pos="7200"/>
        </w:tabs>
        <w:ind w:start="5760" w:firstLine="720"/>
      </w:pPr>
      <w:rPr>
        <w:u w:val="none"/>
      </w:rPr>
    </w:lvl>
  </w:abstractNum>
  <w:abstractNum w:abstractNumId="17">
    <w:lvl w:ilvl="0">
      <w:start w:val="1"/>
      <w:numFmt w:val="bullet"/>
      <w:lvlText w:val=""/>
      <w:lvlJc w:val="start"/>
      <w:pPr>
        <w:tabs>
          <w:tab w:val="num" w:pos="720"/>
        </w:tabs>
        <w:ind w:start="720" w:hanging="720"/>
      </w:pPr>
      <w:rPr>
        <w:rFonts w:ascii="Marlett" w:hAnsi="Marlett" w:cs="Marlett" w:hint="default"/>
        <w:sz w:val="22"/>
        <w:color w:val="auto"/>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upperLetter"/>
      <w:lvlText w:val="%1."/>
      <w:lvlJc w:val="start"/>
      <w:pPr>
        <w:tabs>
          <w:tab w:val="num" w:pos="1800"/>
        </w:tabs>
        <w:ind w:start="0" w:firstLine="14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iCAuthor" w:val="cwatson"/>
    <w:docVar w:name="iCDepartment" w:val="LI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tabs>
        <w:tab w:val="clear" w:pos="720"/>
      </w:tabs>
      <w:spacing w:before="0" w:after="240"/>
      <w:outlineLvl w:val="0"/>
    </w:pPr>
    <w:rPr/>
  </w:style>
  <w:style w:type="paragraph" w:styleId="Heading2">
    <w:name w:val="heading 2"/>
    <w:basedOn w:val="Normal"/>
    <w:next w:val="BodyText"/>
    <w:qFormat/>
    <w:pPr>
      <w:numPr>
        <w:ilvl w:val="1"/>
        <w:numId w:val="1"/>
      </w:numPr>
      <w:tabs>
        <w:tab w:val="clear" w:pos="720"/>
      </w:tabs>
      <w:spacing w:before="0" w:after="240"/>
      <w:outlineLvl w:val="1"/>
    </w:pPr>
    <w:rPr/>
  </w:style>
  <w:style w:type="paragraph" w:styleId="Heading3">
    <w:name w:val="heading 3"/>
    <w:basedOn w:val="Normal"/>
    <w:next w:val="BodyText"/>
    <w:qFormat/>
    <w:pPr>
      <w:numPr>
        <w:ilvl w:val="2"/>
        <w:numId w:val="1"/>
      </w:numPr>
      <w:tabs>
        <w:tab w:val="clear" w:pos="720"/>
      </w:tabs>
      <w:spacing w:before="0" w:after="240"/>
      <w:outlineLvl w:val="2"/>
    </w:pPr>
    <w:rPr/>
  </w:style>
  <w:style w:type="paragraph" w:styleId="Heading4">
    <w:name w:val="heading 4"/>
    <w:basedOn w:val="Normal"/>
    <w:next w:val="BodyText"/>
    <w:qFormat/>
    <w:pPr>
      <w:numPr>
        <w:ilvl w:val="3"/>
        <w:numId w:val="1"/>
      </w:numPr>
      <w:tabs>
        <w:tab w:val="clear" w:pos="720"/>
      </w:tabs>
      <w:spacing w:before="0" w:after="240"/>
      <w:outlineLvl w:val="3"/>
    </w:pPr>
    <w:rPr/>
  </w:style>
  <w:style w:type="paragraph" w:styleId="Heading5">
    <w:name w:val="heading 5"/>
    <w:basedOn w:val="Normal"/>
    <w:next w:val="BodyText"/>
    <w:qFormat/>
    <w:pPr>
      <w:numPr>
        <w:ilvl w:val="4"/>
        <w:numId w:val="1"/>
      </w:numPr>
      <w:tabs>
        <w:tab w:val="clear" w:pos="720"/>
      </w:tabs>
      <w:spacing w:before="0" w:after="240"/>
      <w:outlineLvl w:val="4"/>
    </w:pPr>
    <w:rPr/>
  </w:style>
  <w:style w:type="paragraph" w:styleId="Heading6">
    <w:name w:val="heading 6"/>
    <w:basedOn w:val="Normal"/>
    <w:next w:val="BodyText"/>
    <w:qFormat/>
    <w:pPr>
      <w:numPr>
        <w:ilvl w:val="5"/>
        <w:numId w:val="1"/>
      </w:numPr>
      <w:tabs>
        <w:tab w:val="clear" w:pos="720"/>
      </w:tabs>
      <w:spacing w:before="0" w:after="240"/>
      <w:outlineLvl w:val="5"/>
    </w:pPr>
    <w:rPr/>
  </w:style>
  <w:style w:type="paragraph" w:styleId="Heading7">
    <w:name w:val="heading 7"/>
    <w:basedOn w:val="Normal"/>
    <w:next w:val="BodyText"/>
    <w:qFormat/>
    <w:pPr>
      <w:numPr>
        <w:ilvl w:val="6"/>
        <w:numId w:val="1"/>
      </w:numPr>
      <w:tabs>
        <w:tab w:val="clear" w:pos="720"/>
      </w:tabs>
      <w:spacing w:before="0" w:after="240"/>
      <w:outlineLvl w:val="6"/>
    </w:pPr>
    <w:rPr/>
  </w:style>
  <w:style w:type="paragraph" w:styleId="Heading8">
    <w:name w:val="heading 8"/>
    <w:basedOn w:val="Normal"/>
    <w:next w:val="BodyText"/>
    <w:qFormat/>
    <w:pPr>
      <w:numPr>
        <w:ilvl w:val="7"/>
        <w:numId w:val="1"/>
      </w:numPr>
      <w:tabs>
        <w:tab w:val="clear" w:pos="720"/>
      </w:tabs>
      <w:spacing w:before="0" w:after="240"/>
      <w:outlineLvl w:val="7"/>
    </w:pPr>
    <w:rPr/>
  </w:style>
  <w:style w:type="paragraph" w:styleId="Heading9">
    <w:name w:val="heading 9"/>
    <w:basedOn w:val="Normal"/>
    <w:next w:val="Normal"/>
    <w:qFormat/>
    <w:pPr>
      <w:keepNext w:val="true"/>
      <w:numPr>
        <w:ilvl w:val="8"/>
        <w:numId w:val="1"/>
      </w:numPr>
      <w:spacing w:before="0" w:after="240"/>
      <w:jc w:val="center"/>
      <w:outlineLvl w:val="8"/>
    </w:pPr>
    <w:rPr>
      <w:b/>
      <w:caps/>
    </w:rPr>
  </w:style>
  <w:style w:type="character" w:styleId="WW8Num1z0">
    <w:name w:val="WW8Num1z0"/>
    <w:qFormat/>
    <w:rPr>
      <w:u w:val="none"/>
    </w:rPr>
  </w:style>
  <w:style w:type="character" w:styleId="WW8Num2z0">
    <w:name w:val="WW8Num2z0"/>
    <w:qFormat/>
    <w:rPr>
      <w:u w:val="none"/>
    </w:rPr>
  </w:style>
  <w:style w:type="character" w:styleId="WW8Num3z0">
    <w:name w:val="WW8Num3z0"/>
    <w:qFormat/>
    <w:rPr>
      <w:u w:val="none"/>
    </w:rPr>
  </w:style>
  <w:style w:type="character" w:styleId="WW8Num4z0">
    <w:name w:val="WW8Num4z0"/>
    <w:qFormat/>
    <w:rPr>
      <w:u w:val="none"/>
    </w:rPr>
  </w:style>
  <w:style w:type="character" w:styleId="WW8Num5z0">
    <w:name w:val="WW8Num5z0"/>
    <w:qFormat/>
    <w:rPr>
      <w:rFonts w:ascii="Marlett" w:hAnsi="Marlett" w:cs="Marlett"/>
      <w:color w:val="auto"/>
      <w:sz w:val="22"/>
    </w:rPr>
  </w:style>
  <w:style w:type="character" w:styleId="WW8Num6z0">
    <w:name w:val="WW8Num6z0"/>
    <w:qFormat/>
    <w:rPr>
      <w:rFonts w:ascii="Marlett" w:hAnsi="Marlett" w:cs="Marlett"/>
      <w:color w:val="auto"/>
      <w:sz w:val="22"/>
    </w:rPr>
  </w:style>
  <w:style w:type="character" w:styleId="WW8Num7z0">
    <w:name w:val="WW8Num7z0"/>
    <w:qFormat/>
    <w:rPr>
      <w:rFonts w:ascii="Marlett" w:hAnsi="Marlett" w:cs="Marlett"/>
      <w:color w:val="auto"/>
      <w:sz w:val="22"/>
    </w:rPr>
  </w:style>
  <w:style w:type="character" w:styleId="WW8Num8z0">
    <w:name w:val="WW8Num8z0"/>
    <w:qFormat/>
    <w:rPr>
      <w:rFonts w:ascii="Marlett" w:hAnsi="Marlett" w:cs="Marlett"/>
      <w:color w:val="auto"/>
      <w:sz w:val="22"/>
    </w:rPr>
  </w:style>
  <w:style w:type="character" w:styleId="WW8Num9z0">
    <w:name w:val="WW8Num9z0"/>
    <w:qFormat/>
    <w:rPr>
      <w:u w:val="none"/>
    </w:rPr>
  </w:style>
  <w:style w:type="character" w:styleId="WW8Num10z0">
    <w:name w:val="WW8Num10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u w:val="none"/>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u w:val="none"/>
    </w:rPr>
  </w:style>
  <w:style w:type="character" w:styleId="WW8Num22z0">
    <w:name w:val="WW8Num22z0"/>
    <w:qFormat/>
    <w:rPr>
      <w:rFonts w:ascii="Symbol" w:hAnsi="Symbol" w:cs="Symbol"/>
    </w:rPr>
  </w:style>
  <w:style w:type="character" w:styleId="WW8Num23z0">
    <w:name w:val="WW8Num23z0"/>
    <w:qFormat/>
    <w:rPr>
      <w:rFonts w:ascii="Marlett" w:hAnsi="Marlett" w:cs="Marlett"/>
      <w:color w:val="auto"/>
      <w:sz w:val="22"/>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u w:val="none"/>
    </w:rPr>
  </w:style>
  <w:style w:type="character" w:styleId="WW8Num31z8">
    <w:name w:val="WW8Num31z8"/>
    <w:qFormat/>
    <w:rPr>
      <w:caps/>
    </w:rPr>
  </w:style>
  <w:style w:type="character" w:styleId="WW8Num32z0">
    <w:name w:val="WW8Num32z0"/>
    <w:qFormat/>
    <w:rPr>
      <w:u w:val="none"/>
    </w:rPr>
  </w:style>
  <w:style w:type="character" w:styleId="WW8NumSt120z0">
    <w:name w:val="WW8NumSt12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Tahoma" w:hAnsi="Tahoma" w:cs="Tahoma"/>
      <w:sz w:val="20"/>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rFonts w:ascii="Arial" w:hAnsi="Arial" w:cs="Arial"/>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0" w:after="240"/>
      <w:jc w:val="center"/>
      <w:outlineLvl w:val="0"/>
    </w:pPr>
    <w:rPr>
      <w:b/>
      <w:caps/>
      <w:kern w:val="2"/>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0" w:start="720" w:end="0"/>
    </w:pPr>
    <w:rPr/>
  </w:style>
  <w:style w:type="paragraph" w:styleId="Caption">
    <w:name w:val="caption"/>
    <w:basedOn w:val="Normal"/>
    <w:next w:val="BodyText"/>
    <w:qFormat/>
    <w:pPr>
      <w:keepNext w:val="true"/>
      <w:spacing w:before="0" w:after="240"/>
    </w:pPr>
    <w:rPr>
      <w:b/>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ind w:hanging="0" w:start="1440" w:end="1440"/>
    </w:pPr>
    <w:rPr/>
  </w:style>
  <w:style w:type="paragraph" w:styleId="BlockText2">
    <w:name w:val="Block Text 2"/>
    <w:basedOn w:val="Normal"/>
    <w:qFormat/>
    <w:pPr>
      <w:spacing w:lineRule="auto" w:line="480"/>
      <w:ind w:hanging="0" w:start="1440" w:end="1440"/>
    </w:pPr>
    <w:rPr/>
  </w:style>
  <w:style w:type="paragraph" w:styleId="BlockText3">
    <w:name w:val="Block Text 3"/>
    <w:basedOn w:val="Normal"/>
    <w:qFormat/>
    <w:pPr>
      <w:spacing w:before="0" w:after="240"/>
      <w:ind w:firstLine="720" w:start="1440" w:end="1440"/>
    </w:pPr>
    <w:rPr/>
  </w:style>
  <w:style w:type="paragraph" w:styleId="BlockText4">
    <w:name w:val="Block Text 4"/>
    <w:basedOn w:val="Normal"/>
    <w:qFormat/>
    <w:pPr>
      <w:spacing w:lineRule="auto" w:line="480"/>
      <w:ind w:firstLine="72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4">
    <w:name w:val="Body Text 4"/>
    <w:basedOn w:val="Normal"/>
    <w:qFormat/>
    <w:pPr>
      <w:spacing w:lineRule="auto" w:line="480"/>
    </w:pPr>
    <w:rPr/>
  </w:style>
  <w:style w:type="paragraph" w:styleId="BodyTextFirstIndent">
    <w:name w:val="Body Text First Indent"/>
    <w:basedOn w:val="Normal"/>
    <w:qFormat/>
    <w:pPr>
      <w:spacing w:before="0" w:after="240"/>
      <w:ind w:firstLine="720" w:start="0" w:end="0"/>
    </w:pPr>
    <w:rPr/>
  </w:style>
  <w:style w:type="paragraph" w:styleId="BodyTextIndent">
    <w:name w:val="Body Text Indent"/>
    <w:basedOn w:val="Normal"/>
    <w:pPr>
      <w:spacing w:before="0" w:after="240"/>
      <w:ind w:hanging="0" w:start="720" w:end="720"/>
    </w:pPr>
    <w:rPr/>
  </w:style>
  <w:style w:type="paragraph" w:styleId="BodyTextFirstIndent2">
    <w:name w:val="Body Text First Indent 2"/>
    <w:basedOn w:val="Normal"/>
    <w:qFormat/>
    <w:pPr>
      <w:spacing w:lineRule="auto" w:line="480"/>
      <w:ind w:firstLine="720" w:start="0" w:end="0"/>
    </w:pPr>
    <w:rPr/>
  </w:style>
  <w:style w:type="paragraph" w:styleId="BodyTextFirstIndent3">
    <w:name w:val="Body Text First Indent 3"/>
    <w:basedOn w:val="Normal"/>
    <w:qFormat/>
    <w:pPr>
      <w:spacing w:lineRule="auto" w:line="360"/>
      <w:ind w:firstLine="720" w:start="0" w:end="0"/>
    </w:pPr>
    <w:rPr/>
  </w:style>
  <w:style w:type="paragraph" w:styleId="BodyTextIndent2">
    <w:name w:val="Body Text Indent 2"/>
    <w:basedOn w:val="Normal"/>
    <w:qFormat/>
    <w:pPr>
      <w:spacing w:lineRule="auto" w:line="480"/>
      <w:ind w:hanging="0" w:start="720" w:end="720"/>
    </w:pPr>
    <w:rPr/>
  </w:style>
  <w:style w:type="paragraph" w:styleId="BodyTextIndent3">
    <w:name w:val="Body Text Indent 3"/>
    <w:basedOn w:val="Normal"/>
    <w:qFormat/>
    <w:pPr>
      <w:spacing w:before="0" w:after="240"/>
      <w:ind w:firstLine="720" w:start="720" w:end="0"/>
    </w:pPr>
    <w:rPr/>
  </w:style>
  <w:style w:type="paragraph" w:styleId="BodyTextIndent4">
    <w:name w:val="Body Text Indent 4"/>
    <w:basedOn w:val="Normal"/>
    <w:qFormat/>
    <w:pPr>
      <w:spacing w:lineRule="auto" w:line="480"/>
      <w:ind w:hanging="0" w:start="720" w:end="720"/>
    </w:pPr>
    <w:rPr/>
  </w:style>
  <w:style w:type="paragraph" w:styleId="Closing">
    <w:name w:val="Closing"/>
    <w:basedOn w:val="Normal"/>
    <w:qFormat/>
    <w:pPr>
      <w:keepLines/>
      <w:ind w:hanging="0" w:start="468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z w:val="20"/>
    </w:rPr>
  </w:style>
  <w:style w:type="paragraph" w:styleId="FrameDateandTime">
    <w:name w:val="Frame Date and Time"/>
    <w:basedOn w:val="Footer"/>
    <w:qFormat/>
    <w:pPr/>
    <w:rPr>
      <w:rFonts w:ascii="Arial" w:hAnsi="Arial" w:cs="Arial"/>
      <w:sz w:val="16"/>
    </w:rPr>
  </w:style>
  <w:style w:type="paragraph" w:styleId="FramePageNumber">
    <w:name w:val="Frame Page Number"/>
    <w:basedOn w:val="Footer"/>
    <w:qFormat/>
    <w:pPr/>
    <w:rPr/>
  </w:style>
  <w:style w:type="paragraph" w:styleId="Hanging">
    <w:name w:val="Hanging"/>
    <w:basedOn w:val="Normal"/>
    <w:qFormat/>
    <w:pPr>
      <w:spacing w:before="0" w:after="240"/>
      <w:ind w:hanging="2160" w:start="2160" w:end="0"/>
    </w:pPr>
    <w:rPr/>
  </w:style>
  <w:style w:type="paragraph" w:styleId="Header">
    <w:name w:val="header"/>
    <w:basedOn w:val="Normal"/>
    <w:pPr>
      <w:tabs>
        <w:tab w:val="clear" w:pos="720"/>
        <w:tab w:val="center" w:pos="4680" w:leader="none"/>
        <w:tab w:val="right" w:pos="9360" w:leader="none"/>
      </w:tabs>
    </w:pPr>
    <w:rPr/>
  </w:style>
  <w:style w:type="paragraph" w:styleId="HIDDEN">
    <w:name w:val="HIDDEN"/>
    <w:basedOn w:val="Normal"/>
    <w:next w:val="Normal"/>
    <w:qFormat/>
    <w:pPr>
      <w:widowControl w:val="false"/>
    </w:pPr>
    <w:rPr>
      <w:vanish/>
      <w:effect w:val="blinkBackground"/>
    </w:rPr>
  </w:style>
  <w:style w:type="paragraph" w:styleId="Index1">
    <w:name w:val="index 1"/>
    <w:basedOn w:val="Normal"/>
    <w:next w:val="Normal"/>
    <w:pPr>
      <w:ind w:hanging="245" w:start="245" w:end="0"/>
    </w:pPr>
    <w:rPr/>
  </w:style>
  <w:style w:type="paragraph" w:styleId="Index2">
    <w:name w:val="index 2"/>
    <w:basedOn w:val="Normal"/>
    <w:next w:val="Normal"/>
    <w:pPr>
      <w:ind w:hanging="245" w:start="490" w:end="0"/>
    </w:pPr>
    <w:rPr/>
  </w:style>
  <w:style w:type="paragraph" w:styleId="Index3">
    <w:name w:val="index 3"/>
    <w:basedOn w:val="Normal"/>
    <w:next w:val="Normal"/>
    <w:pPr>
      <w:ind w:hanging="245" w:start="720" w:end="0"/>
    </w:pPr>
    <w:rPr/>
  </w:style>
  <w:style w:type="paragraph" w:styleId="Index4">
    <w:name w:val="Index 4"/>
    <w:basedOn w:val="Normal"/>
    <w:next w:val="Normal"/>
    <w:qFormat/>
    <w:pPr>
      <w:ind w:hanging="245" w:start="965" w:end="0"/>
    </w:pPr>
    <w:rPr/>
  </w:style>
  <w:style w:type="paragraph" w:styleId="Index5">
    <w:name w:val="Index 5"/>
    <w:basedOn w:val="Normal"/>
    <w:next w:val="Normal"/>
    <w:qFormat/>
    <w:pPr>
      <w:ind w:hanging="245" w:start="1210" w:end="0"/>
    </w:pPr>
    <w:rPr/>
  </w:style>
  <w:style w:type="paragraph" w:styleId="Index6">
    <w:name w:val="Index 6"/>
    <w:basedOn w:val="Normal"/>
    <w:next w:val="Normal"/>
    <w:qFormat/>
    <w:pPr>
      <w:ind w:hanging="245" w:start="1440" w:end="0"/>
    </w:pPr>
    <w:rPr/>
  </w:style>
  <w:style w:type="paragraph" w:styleId="Index7">
    <w:name w:val="Index 7"/>
    <w:basedOn w:val="Normal"/>
    <w:next w:val="Normal"/>
    <w:qFormat/>
    <w:pPr>
      <w:ind w:hanging="245" w:start="1685" w:end="0"/>
    </w:pPr>
    <w:rPr/>
  </w:style>
  <w:style w:type="paragraph" w:styleId="Index8">
    <w:name w:val="Index 8"/>
    <w:basedOn w:val="Normal"/>
    <w:next w:val="Normal"/>
    <w:qFormat/>
    <w:pPr>
      <w:ind w:hanging="245" w:start="1930" w:end="0"/>
    </w:pPr>
    <w:rPr/>
  </w:style>
  <w:style w:type="paragraph" w:styleId="Index9">
    <w:name w:val="Index 9"/>
    <w:basedOn w:val="Normal"/>
    <w:next w:val="Normal"/>
    <w:qFormat/>
    <w:pPr>
      <w:ind w:hanging="245" w:start="2160" w:end="0"/>
    </w:pPr>
    <w:rPr/>
  </w:style>
  <w:style w:type="paragraph" w:styleId="IndexHeading">
    <w:name w:val="index heading"/>
    <w:basedOn w:val="Normal"/>
    <w:next w:val="Index1"/>
    <w:pPr/>
    <w:rPr>
      <w:b/>
    </w:rPr>
  </w:style>
  <w:style w:type="paragraph" w:styleId="ListBullet2">
    <w:name w:val="List Bullet 2"/>
    <w:basedOn w:val="Normal"/>
    <w:pPr>
      <w:spacing w:before="0" w:after="240"/>
      <w:ind w:hanging="0" w:start="1440" w:end="0"/>
    </w:pPr>
    <w:rPr/>
  </w:style>
  <w:style w:type="paragraph" w:styleId="ListBullet3">
    <w:name w:val="List Bullet 3"/>
    <w:basedOn w:val="Normal"/>
    <w:pPr>
      <w:spacing w:before="0" w:after="240"/>
      <w:ind w:hanging="0" w:start="2160" w:end="0"/>
    </w:pPr>
    <w:rPr/>
  </w:style>
  <w:style w:type="paragraph" w:styleId="ListBullet4">
    <w:name w:val="List Bullet 4"/>
    <w:basedOn w:val="Normal"/>
    <w:pPr>
      <w:spacing w:before="0" w:after="240"/>
      <w:ind w:hanging="0" w:start="2880" w:end="0"/>
    </w:pPr>
    <w:rPr/>
  </w:style>
  <w:style w:type="paragraph" w:styleId="ListBullet5">
    <w:name w:val="List Bullet 5"/>
    <w:basedOn w:val="Normal"/>
    <w:pPr>
      <w:spacing w:before="0" w:after="240"/>
      <w:ind w:hanging="0" w:start="3600" w:end="0"/>
    </w:pPr>
    <w:rPr/>
  </w:style>
  <w:style w:type="paragraph" w:styleId="ListBullet">
    <w:name w:val="List Bullet"/>
    <w:basedOn w:val="Normal"/>
    <w:qFormat/>
    <w:pPr>
      <w:numPr>
        <w:ilvl w:val="0"/>
        <w:numId w:val="17"/>
      </w:numPr>
      <w:tabs>
        <w:tab w:val="clear" w:pos="720"/>
      </w:tabs>
      <w:spacing w:before="0" w:after="240"/>
    </w:pPr>
    <w:rPr/>
  </w:style>
  <w:style w:type="paragraph" w:styleId="ListBullet21">
    <w:name w:val="List Bullet 21"/>
    <w:basedOn w:val="Normal"/>
    <w:qFormat/>
    <w:pPr>
      <w:numPr>
        <w:ilvl w:val="0"/>
        <w:numId w:val="9"/>
      </w:numPr>
      <w:tabs>
        <w:tab w:val="clear" w:pos="720"/>
      </w:tabs>
      <w:spacing w:before="0" w:after="240"/>
    </w:pPr>
    <w:rPr/>
  </w:style>
  <w:style w:type="paragraph" w:styleId="ListBullet31">
    <w:name w:val="List Bullet 31"/>
    <w:basedOn w:val="Normal"/>
    <w:qFormat/>
    <w:pPr>
      <w:numPr>
        <w:ilvl w:val="0"/>
        <w:numId w:val="8"/>
      </w:numPr>
      <w:tabs>
        <w:tab w:val="clear" w:pos="720"/>
      </w:tabs>
      <w:spacing w:before="0" w:after="240"/>
    </w:pPr>
    <w:rPr/>
  </w:style>
  <w:style w:type="paragraph" w:styleId="ListBullet41">
    <w:name w:val="List Bullet 41"/>
    <w:basedOn w:val="Normal"/>
    <w:qFormat/>
    <w:pPr>
      <w:numPr>
        <w:ilvl w:val="0"/>
        <w:numId w:val="7"/>
      </w:numPr>
      <w:tabs>
        <w:tab w:val="clear" w:pos="720"/>
      </w:tabs>
      <w:spacing w:before="0" w:after="240"/>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240"/>
      <w:ind w:hanging="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firstLine="1440" w:start="0" w:end="0"/>
    </w:pPr>
    <w:rPr/>
  </w:style>
  <w:style w:type="paragraph" w:styleId="ListContinue5">
    <w:name w:val="List Continue 5"/>
    <w:basedOn w:val="Normal"/>
    <w:qFormat/>
    <w:pPr>
      <w:spacing w:before="0" w:after="240"/>
      <w:ind w:firstLine="2160" w:start="0" w:end="0"/>
    </w:pPr>
    <w:rPr/>
  </w:style>
  <w:style w:type="paragraph" w:styleId="ListNumber">
    <w:name w:val="List Number"/>
    <w:basedOn w:val="Normal"/>
    <w:qFormat/>
    <w:pPr>
      <w:numPr>
        <w:ilvl w:val="0"/>
        <w:numId w:val="10"/>
      </w:numPr>
      <w:tabs>
        <w:tab w:val="clear" w:pos="720"/>
      </w:tabs>
      <w:spacing w:before="0" w:after="240"/>
    </w:pPr>
    <w:rPr/>
  </w:style>
  <w:style w:type="paragraph" w:styleId="ListNumber2">
    <w:name w:val="List Number 2"/>
    <w:basedOn w:val="Normal"/>
    <w:qFormat/>
    <w:pPr>
      <w:numPr>
        <w:ilvl w:val="0"/>
        <w:numId w:val="5"/>
      </w:numPr>
      <w:tabs>
        <w:tab w:val="clear" w:pos="720"/>
      </w:tabs>
      <w:spacing w:before="0" w:after="240"/>
    </w:pPr>
    <w:rPr/>
  </w:style>
  <w:style w:type="paragraph" w:styleId="ListNumber3">
    <w:name w:val="List Number 3"/>
    <w:basedOn w:val="Normal"/>
    <w:qFormat/>
    <w:pPr>
      <w:numPr>
        <w:ilvl w:val="0"/>
        <w:numId w:val="4"/>
      </w:numPr>
      <w:tabs>
        <w:tab w:val="clear" w:pos="720"/>
      </w:tabs>
      <w:spacing w:before="0" w:after="240"/>
    </w:pPr>
    <w:rPr/>
  </w:style>
  <w:style w:type="paragraph" w:styleId="ListNumber4">
    <w:name w:val="List Number 4"/>
    <w:basedOn w:val="Normal"/>
    <w:qFormat/>
    <w:pPr>
      <w:numPr>
        <w:ilvl w:val="0"/>
        <w:numId w:val="3"/>
      </w:numPr>
      <w:tabs>
        <w:tab w:val="clear" w:pos="720"/>
      </w:tabs>
      <w:spacing w:before="0" w:after="240"/>
    </w:pPr>
    <w:rPr/>
  </w:style>
  <w:style w:type="paragraph" w:styleId="ListNumber5">
    <w:name w:val="List Number 5"/>
    <w:basedOn w:val="Normal"/>
    <w:qFormat/>
    <w:pPr>
      <w:numPr>
        <w:ilvl w:val="0"/>
        <w:numId w:val="2"/>
      </w:numPr>
      <w:tabs>
        <w:tab w:val="clear" w:pos="720"/>
      </w:tabs>
      <w:spacing w:before="0" w:after="240"/>
    </w:pPr>
    <w:rPr/>
  </w:style>
  <w:style w:type="paragraph" w:styleId="ListNumberA">
    <w:name w:val="List Number A"/>
    <w:basedOn w:val="Normal"/>
    <w:qFormat/>
    <w:pPr>
      <w:numPr>
        <w:ilvl w:val="0"/>
        <w:numId w:val="20"/>
      </w:numPr>
      <w:tabs>
        <w:tab w:val="clear" w:pos="720"/>
      </w:tabs>
      <w:spacing w:before="0" w:after="240"/>
    </w:pPr>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1440" w:end="0"/>
    </w:pPr>
    <w:rPr/>
  </w:style>
  <w:style w:type="paragraph" w:styleId="NoteHeading">
    <w:name w:val="Note Heading"/>
    <w:basedOn w:val="Normal"/>
    <w:next w:val="Normal"/>
    <w:qFormat/>
    <w:pPr/>
    <w:rPr/>
  </w:style>
  <w:style w:type="paragraph" w:styleId="Para1">
    <w:name w:val="Para1"/>
    <w:basedOn w:val="Normal"/>
    <w:qFormat/>
    <w:pPr>
      <w:spacing w:before="0" w:after="240"/>
      <w:ind w:firstLine="1440" w:start="0" w:end="0"/>
    </w:pPr>
    <w:rPr/>
  </w:style>
  <w:style w:type="paragraph" w:styleId="Para2">
    <w:name w:val="Para2"/>
    <w:basedOn w:val="Normal"/>
    <w:qFormat/>
    <w:pPr>
      <w:spacing w:before="0" w:after="240"/>
      <w:ind w:firstLine="1440" w:start="720" w:end="0"/>
    </w:pPr>
    <w:rPr/>
  </w:style>
  <w:style w:type="paragraph" w:styleId="Para3">
    <w:name w:val="Para3"/>
    <w:basedOn w:val="Normal"/>
    <w:qFormat/>
    <w:pPr>
      <w:spacing w:before="0" w:after="240"/>
      <w:ind w:firstLine="1440" w:start="1440" w:end="0"/>
    </w:pPr>
    <w:rPr/>
  </w:style>
  <w:style w:type="paragraph" w:styleId="Para4">
    <w:name w:val="Para4"/>
    <w:basedOn w:val="Normal"/>
    <w:qFormat/>
    <w:pPr>
      <w:spacing w:before="0" w:after="240"/>
      <w:ind w:firstLine="1440" w:start="2160" w:end="0"/>
    </w:pPr>
    <w:rPr/>
  </w:style>
  <w:style w:type="paragraph" w:styleId="Para5">
    <w:name w:val="Para5"/>
    <w:basedOn w:val="Normal"/>
    <w:qFormat/>
    <w:pPr>
      <w:spacing w:before="0" w:after="240"/>
      <w:ind w:firstLine="1440" w:start="2880" w:end="0"/>
    </w:pPr>
    <w:rPr/>
  </w:style>
  <w:style w:type="paragraph" w:styleId="Para6">
    <w:name w:val="Para6"/>
    <w:basedOn w:val="Normal"/>
    <w:qFormat/>
    <w:pPr>
      <w:spacing w:before="0" w:after="240"/>
      <w:ind w:firstLine="1440" w:start="3600" w:end="0"/>
    </w:pPr>
    <w:rPr/>
  </w:style>
  <w:style w:type="paragraph" w:styleId="Para7">
    <w:name w:val="Para7"/>
    <w:basedOn w:val="Normal"/>
    <w:qFormat/>
    <w:pPr>
      <w:spacing w:before="0" w:after="240"/>
      <w:ind w:firstLine="1440" w:start="4320" w:end="0"/>
    </w:pPr>
    <w:rPr/>
  </w:style>
  <w:style w:type="paragraph" w:styleId="Para8">
    <w:name w:val="Para8"/>
    <w:basedOn w:val="Normal"/>
    <w:qFormat/>
    <w:pPr>
      <w:spacing w:before="0" w:after="240"/>
      <w:ind w:firstLine="1440" w:start="5040" w:end="0"/>
    </w:pPr>
    <w:rPr/>
  </w:style>
  <w:style w:type="paragraph" w:styleId="Para9">
    <w:name w:val="Para9"/>
    <w:basedOn w:val="Normal"/>
    <w:qFormat/>
    <w:pPr>
      <w:spacing w:before="0" w:after="240"/>
      <w:ind w:firstLine="1440" w:start="5760" w:end="0"/>
    </w:pPr>
    <w:rPr/>
  </w:style>
  <w:style w:type="paragraph" w:styleId="PlainText">
    <w:name w:val="Plain Text"/>
    <w:basedOn w:val="Normal"/>
    <w:qFormat/>
    <w:pPr/>
    <w:rPr>
      <w:sz w:val="20"/>
    </w:rPr>
  </w:style>
  <w:style w:type="paragraph" w:styleId="Salutation">
    <w:name w:val="Salutation"/>
    <w:basedOn w:val="Normal"/>
    <w:next w:val="Normal"/>
    <w:qFormat/>
    <w:pPr>
      <w:spacing w:before="0" w:after="240"/>
    </w:pPr>
    <w:rPr/>
  </w:style>
  <w:style w:type="paragraph" w:styleId="Signature">
    <w:name w:val="Signature"/>
    <w:basedOn w:val="Normal"/>
    <w:pPr>
      <w:keepLines/>
      <w:ind w:hanging="0" w:start="4680" w:end="0"/>
    </w:pPr>
    <w:rPr/>
  </w:style>
  <w:style w:type="paragraph" w:styleId="Subtitle">
    <w:name w:val="Subtitle"/>
    <w:basedOn w:val="Normal"/>
    <w:next w:val="BodyText"/>
    <w:qFormat/>
    <w:pPr>
      <w:keepNext w:val="true"/>
      <w:spacing w:before="0" w:after="240"/>
      <w:jc w:val="center"/>
      <w:outlineLvl w:val="1"/>
    </w:pPr>
    <w:rPr>
      <w:b/>
    </w:rPr>
  </w:style>
  <w:style w:type="paragraph" w:styleId="SubtitleUnderline">
    <w:name w:val="Subtitle Underline"/>
    <w:basedOn w:val="Subtitle"/>
    <w:next w:val="BodyText"/>
    <w:qFormat/>
    <w:pPr/>
    <w:rPr>
      <w:u w:val="single"/>
    </w:rPr>
  </w:style>
  <w:style w:type="paragraph" w:styleId="TableofAuthorities">
    <w:name w:val="Table of Authorities"/>
    <w:basedOn w:val="Normal"/>
    <w:next w:val="Normal"/>
    <w:qFormat/>
    <w:pPr>
      <w:spacing w:before="0" w:after="240"/>
      <w:ind w:hanging="360" w:start="360" w:end="0"/>
    </w:pPr>
    <w:rPr/>
  </w:style>
  <w:style w:type="paragraph" w:styleId="TableofFigures">
    <w:name w:val="Table of Figures"/>
    <w:basedOn w:val="Normal"/>
    <w:next w:val="Normal"/>
    <w:qFormat/>
    <w:pPr>
      <w:spacing w:before="0" w:after="240"/>
      <w:ind w:hanging="720" w:start="720" w:end="0"/>
    </w:pPr>
    <w:rPr/>
  </w:style>
  <w:style w:type="paragraph" w:styleId="TitleUnderline">
    <w:name w:val="Title Underline"/>
    <w:basedOn w:val="Heading"/>
    <w:next w:val="BodyText"/>
    <w:qFormat/>
    <w:pPr/>
    <w:rPr>
      <w:u w:val="single"/>
    </w:rPr>
  </w:style>
  <w:style w:type="paragraph" w:styleId="TOAHeading">
    <w:name w:val="TOA Heading"/>
    <w:basedOn w:val="Normal"/>
    <w:next w:val="Normal"/>
    <w:qFormat/>
    <w:pPr>
      <w:spacing w:before="0" w:after="240"/>
    </w:pPr>
    <w:rPr>
      <w:b/>
      <w:caps/>
    </w:rPr>
  </w:style>
  <w:style w:type="paragraph" w:styleId="TOC1">
    <w:name w:val="toc 1"/>
    <w:basedOn w:val="Normal"/>
    <w:next w:val="Normal"/>
    <w:pPr>
      <w:spacing w:before="240" w:after="0"/>
      <w:ind w:hanging="720" w:start="720" w:end="720"/>
    </w:pPr>
    <w:rPr/>
  </w:style>
  <w:style w:type="paragraph" w:styleId="TOC2">
    <w:name w:val="toc 2"/>
    <w:basedOn w:val="Normal"/>
    <w:next w:val="Normal"/>
    <w:pPr>
      <w:ind w:hanging="720" w:start="1440" w:end="720"/>
    </w:pPr>
    <w:rPr/>
  </w:style>
  <w:style w:type="paragraph" w:styleId="TOC3">
    <w:name w:val="toc 3"/>
    <w:basedOn w:val="Normal"/>
    <w:next w:val="Normal"/>
    <w:pPr>
      <w:ind w:hanging="720" w:start="2160" w:end="720"/>
    </w:pPr>
    <w:rPr/>
  </w:style>
  <w:style w:type="paragraph" w:styleId="TOC4">
    <w:name w:val="toc 4"/>
    <w:basedOn w:val="Normal"/>
    <w:next w:val="Normal"/>
    <w:pPr>
      <w:ind w:hanging="720" w:start="2880" w:end="720"/>
    </w:pPr>
    <w:rPr/>
  </w:style>
  <w:style w:type="paragraph" w:styleId="TOC5">
    <w:name w:val="toc 5"/>
    <w:basedOn w:val="Normal"/>
    <w:next w:val="Normal"/>
    <w:pPr>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DocID">
    <w:name w:val="DocID"/>
    <w:basedOn w:val="Normal"/>
    <w:qFormat/>
    <w:pPr/>
    <w:rPr>
      <w:rFonts w:ascii="Arial" w:hAnsi="Arial" w:cs="Arial"/>
      <w:sz w:val="16"/>
    </w:rPr>
  </w:style>
  <w:style w:type="paragraph" w:styleId="WW-Heading">
    <w:name w:val="WW-Heading"/>
    <w:basedOn w:val="Normal"/>
    <w:qFormat/>
    <w:pPr>
      <w:spacing w:before="0" w:after="240"/>
    </w:pPr>
    <w:rPr/>
  </w:style>
  <w:style w:type="paragraph" w:styleId="Level1">
    <w:name w:val="Level 1"/>
    <w:basedOn w:val="Normal"/>
    <w:qFormat/>
    <w:pPr>
      <w:numPr>
        <w:ilvl w:val="0"/>
        <w:numId w:val="16"/>
      </w:numPr>
      <w:tabs>
        <w:tab w:val="clear" w:pos="720"/>
      </w:tabs>
      <w:spacing w:before="0" w:after="240"/>
    </w:pPr>
    <w:rPr/>
  </w:style>
  <w:style w:type="paragraph" w:styleId="Level2">
    <w:name w:val="Level 2"/>
    <w:basedOn w:val="Normal"/>
    <w:qFormat/>
    <w:pPr>
      <w:numPr>
        <w:ilvl w:val="0"/>
        <w:numId w:val="16"/>
      </w:numPr>
      <w:tabs>
        <w:tab w:val="clear" w:pos="720"/>
      </w:tabs>
      <w:spacing w:before="0" w:after="240"/>
    </w:pPr>
    <w:rPr/>
  </w:style>
  <w:style w:type="paragraph" w:styleId="Level3">
    <w:name w:val="Level 3"/>
    <w:basedOn w:val="Normal"/>
    <w:qFormat/>
    <w:pPr>
      <w:numPr>
        <w:ilvl w:val="0"/>
        <w:numId w:val="16"/>
      </w:numPr>
      <w:tabs>
        <w:tab w:val="clear" w:pos="720"/>
      </w:tabs>
      <w:spacing w:before="0" w:after="240"/>
    </w:pPr>
    <w:rPr/>
  </w:style>
  <w:style w:type="paragraph" w:styleId="Level4">
    <w:name w:val="Level 4"/>
    <w:basedOn w:val="Normal"/>
    <w:qFormat/>
    <w:pPr>
      <w:numPr>
        <w:ilvl w:val="0"/>
        <w:numId w:val="16"/>
      </w:numPr>
      <w:tabs>
        <w:tab w:val="clear" w:pos="720"/>
      </w:tabs>
      <w:spacing w:before="0" w:after="240"/>
    </w:pPr>
    <w:rPr/>
  </w:style>
  <w:style w:type="paragraph" w:styleId="Level5">
    <w:name w:val="Level 5"/>
    <w:basedOn w:val="Normal"/>
    <w:qFormat/>
    <w:pPr>
      <w:numPr>
        <w:ilvl w:val="0"/>
        <w:numId w:val="16"/>
      </w:numPr>
      <w:tabs>
        <w:tab w:val="clear" w:pos="720"/>
      </w:tabs>
      <w:spacing w:before="0" w:after="240"/>
    </w:pPr>
    <w:rPr/>
  </w:style>
  <w:style w:type="paragraph" w:styleId="Level6">
    <w:name w:val="Level 6"/>
    <w:basedOn w:val="Normal"/>
    <w:qFormat/>
    <w:pPr>
      <w:numPr>
        <w:ilvl w:val="0"/>
        <w:numId w:val="16"/>
      </w:numPr>
      <w:tabs>
        <w:tab w:val="clear" w:pos="720"/>
      </w:tabs>
      <w:spacing w:before="0" w:after="240"/>
    </w:pPr>
    <w:rPr/>
  </w:style>
  <w:style w:type="paragraph" w:styleId="Level7">
    <w:name w:val="Level 7"/>
    <w:basedOn w:val="Normal"/>
    <w:qFormat/>
    <w:pPr>
      <w:numPr>
        <w:ilvl w:val="0"/>
        <w:numId w:val="16"/>
      </w:numPr>
      <w:tabs>
        <w:tab w:val="clear" w:pos="720"/>
      </w:tabs>
      <w:spacing w:before="0" w:after="240"/>
    </w:pPr>
    <w:rPr/>
  </w:style>
  <w:style w:type="paragraph" w:styleId="Level8">
    <w:name w:val="Level 8"/>
    <w:basedOn w:val="Normal"/>
    <w:qFormat/>
    <w:pPr>
      <w:numPr>
        <w:ilvl w:val="0"/>
        <w:numId w:val="16"/>
      </w:numPr>
      <w:tabs>
        <w:tab w:val="clear" w:pos="720"/>
      </w:tabs>
      <w:spacing w:before="0" w:after="240"/>
    </w:pPr>
    <w:rPr/>
  </w:style>
  <w:style w:type="paragraph" w:styleId="Level9">
    <w:name w:val="Level 9"/>
    <w:basedOn w:val="Normal"/>
    <w:qFormat/>
    <w:pPr>
      <w:numPr>
        <w:ilvl w:val="0"/>
        <w:numId w:val="16"/>
      </w:numPr>
      <w:tabs>
        <w:tab w:val="clear" w:pos="720"/>
      </w:tabs>
      <w:spacing w:before="0" w:after="24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yperlink" Target="mailto:sbrown@foleylaw.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TLBlank Portrait.dot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2001-11-19T13:32:00Z</dcterms:created>
  <dc:creator>Catherine Watson</dc:creator>
  <dc:description/>
  <cp:keywords>002.668472</cp:keywords>
  <dc:language>en-CA</dc:language>
  <cp:lastModifiedBy>Catherine Watson</cp:lastModifiedBy>
  <cp:lastPrinted>2001-11-20T15:51:00Z</cp:lastPrinted>
  <dcterms:modified xsi:type="dcterms:W3CDTF">2001-11-19T13:35:00Z</dcterms:modified>
  <cp:revision>5</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ies>
</file>