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4.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header5.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pptx" ContentType="application/vnd.openxmlformats-officedocument.presentationml.presentation"/>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document.xml" ContentType="application/vnd.openxmlformats-officedocument.wordprocessingml.document.main+xml"/>
  <Override PartName="/word/media/image10.wmf" ContentType="image/x-wmf"/>
  <Override PartName="/word/media/image1.wmf" ContentType="image/x-wmf"/>
  <Override PartName="/word/media/image13.wmf" ContentType="image/x-wmf"/>
  <Override PartName="/word/media/image4.wmf" ContentType="image/x-wmf"/>
  <Override PartName="/word/media/image9.wmf" ContentType="image/x-wmf"/>
  <Override PartName="/word/media/image19.png" ContentType="image/png"/>
  <Override PartName="/word/media/image18.png" ContentType="image/png"/>
  <Override PartName="/word/media/image15.wmf" ContentType="image/x-wmf"/>
  <Override PartName="/word/media/image14.wmf" ContentType="image/x-wmf"/>
  <Override PartName="/word/media/image5.wmf" ContentType="image/x-wmf"/>
  <Override PartName="/word/media/image6.png" ContentType="image/png"/>
  <Override PartName="/word/media/image16.wmf" ContentType="image/x-wmf"/>
  <Override PartName="/word/media/image7.wmf" ContentType="image/x-wmf"/>
  <Override PartName="/word/media/image11.wmf" ContentType="image/x-wmf"/>
  <Override PartName="/word/media/image2.wmf" ContentType="image/x-wmf"/>
  <Override PartName="/word/media/image17.wmf" ContentType="image/x-wmf"/>
  <Override PartName="/word/media/image8.wmf" ContentType="image/x-wmf"/>
  <Override PartName="/word/media/image12.wmf" ContentType="image/x-wmf"/>
  <Override PartName="/word/media/image3.wmf" ContentType="image/x-wmf"/>
  <Override PartName="/word/footer5.xml" ContentType="application/vnd.openxmlformats-officedocument.wordprocessingml.footer+xml"/>
  <Override PartName="/word/fontTable.xml" ContentType="application/vnd.openxmlformats-officedocument.wordprocessingml.fontTable+xml"/>
  <Override PartName="/word/footnotes.xml" ContentType="application/vnd.openxmlformats-officedocument.wordprocessingml.footnotes+xml"/>
  <Override PartName="/word/header6.xml" ContentType="application/vnd.openxmlformats-officedocument.wordprocessingml.header+xml"/>
  <Override PartName="/word/numbering.xml" ContentType="application/vnd.openxmlformats-officedocument.wordprocessingml.numbering+xml"/>
  <Override PartName="/word/_rels/footer6.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_rels/footer3.xml.rels" ContentType="application/vnd.openxmlformats-package.relationships+xml"/>
  <Override PartName="/word/_rels/footer1.xml.rels" ContentType="application/vnd.openxmlformats-package.relationships+xml"/>
  <Override PartName="/word/_rels/footer5.xml.rels" ContentType="application/vnd.openxmlformats-package.relationships+xml"/>
  <Override PartName="/word/_rels/footer4.xml.rels" ContentType="application/vnd.openxmlformats-package.relationships+xml"/>
  <Override PartName="/word/comments.xml" ContentType="application/vnd.openxmlformats-officedocument.wordprocessingml.comments+xml"/>
  <Override PartName="/word/footer1.xml" ContentType="application/vnd.openxmlformats-officedocument.wordprocessingml.footer+xml"/>
  <Override PartName="/word/footer6.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ind w:hanging="0" w:start="0"/>
        <w:rPr>
          <w:sz w:val="25"/>
        </w:rPr>
      </w:pPr>
      <w:r>
        <w:rPr>
          <w:sz w:val="36"/>
        </w:rPr>
        <w:t>Overview of Enron’s Generation</w:t>
      </w:r>
    </w:p>
    <w:p>
      <w:pPr>
        <w:pStyle w:val="Heading1"/>
        <w:ind w:hanging="0" w:start="0"/>
        <w:rPr>
          <w:b w:val="false"/>
          <w:sz w:val="24"/>
        </w:rPr>
      </w:pPr>
      <w:r>
        <w:rPr>
          <w:b w:val="false"/>
          <w:sz w:val="24"/>
        </w:rPr>
        <w:t>Preliminary Terms and Power Markets Overview</w:t>
      </w:r>
    </w:p>
    <w:p>
      <w:pPr>
        <w:pStyle w:val="Heading1"/>
        <w:ind w:hanging="0" w:start="0"/>
        <w:rPr/>
      </w:pPr>
      <w:r>
        <w:rPr>
          <w:b w:val="false"/>
          <w:sz w:val="32"/>
        </w:rPr>
        <w:br/>
      </w:r>
      <w:r>
        <w:rPr>
          <w:b w:val="false"/>
          <w:sz w:val="24"/>
        </w:rPr>
        <w:t>Certain information included in this Information Memorandum contains forward-looking statements identified by such words as “expect”, "anticipate”, or “project.”  Such statements are based on current expectations and involve a number of known and unknown risks and uncertainties that could cause the actual results and performance of the power generation plants (“Plants”) to differ materially from any expected future results or performance, expressed or implied, by the forward-looking statements, including expectations regarding the future results of operations of the Plants.  Enron North America Corp. (“ENA”) has identified important factors that could cause actual results to differ materially from such expectations, including development uncertainty, operating uncertainty, acquisition uncertainty, uncertainties relating to power and gas markets, weather, uncertainties relating to domestic and international economic and political conditions and uncertainties regarding the impact of regulations, changes in government policy, industry deregulation and competition.  You have an obligation to evaluate all such risks for itself.  ENA does not assume responsibility to update forward-looking information contained herein.</w:t>
        <w:br/>
        <w:br/>
        <w:t>Although in furnishing the enclosed information ENA has endeavored to include materials which ENA believes to be reliable and relevant for your evaluation, ENA makes no representation or warranty as to the accuracy or completeness of any such provided information.  Furthermore, neither ENA nor its representative shall have any liability to any party whatsoever resulting from the use of any such information.</w:t>
        <w:br/>
      </w:r>
    </w:p>
    <w:p>
      <w:pPr>
        <w:pStyle w:val="Heading4"/>
        <w:ind w:hanging="0" w:start="0" w:end="0"/>
        <w:rPr>
          <w:b w:val="false"/>
          <w:sz w:val="24"/>
        </w:rPr>
      </w:pPr>
      <w:r>
        <w:rPr>
          <w:b w:val="false"/>
          <w:sz w:val="24"/>
        </w:rPr>
        <w:t xml:space="preserve">Portions of this Information Memorandum contain term sheets which contemplate potential agreements. Be advised that such term sheets are for discussion purposes only and are not complete or inclusive of all terms that would need to be agreed upon before a definitive and binding agreement could be reached. These term sheets are not intended to create and do not create a binding or enforceable contract or a duty to negotiate toward a binding contract. A binding commitment can only arise from the negotiation, execution, and delivery of a final written definitive agreement. </w:t>
      </w:r>
    </w:p>
    <w:p>
      <w:pPr>
        <w:pStyle w:val="Normal"/>
        <w:rPr>
          <w:b/>
          <w:sz w:val="24"/>
        </w:rPr>
      </w:pPr>
      <w:r>
        <w:rPr>
          <w:b/>
          <w:sz w:val="24"/>
        </w:rPr>
      </w:r>
    </w:p>
    <w:p>
      <w:pPr>
        <w:pStyle w:val="Normal"/>
        <w:rPr/>
      </w:pPr>
      <w:r>
        <w:rPr/>
      </w:r>
    </w:p>
    <w:p>
      <w:pPr>
        <w:pStyle w:val="FootnoteText"/>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firstLine="180" w:end="0"/>
        <w:rPr/>
      </w:pPr>
      <w:r>
        <w:rPr/>
      </w:r>
    </w:p>
    <w:p>
      <w:pPr>
        <w:pStyle w:val="Heading4"/>
        <w:ind w:firstLine="180" w:end="0"/>
        <w:rPr/>
      </w:pPr>
      <w:r>
        <w:rPr/>
      </w:r>
    </w:p>
    <w:p>
      <w:pPr>
        <w:pStyle w:val="Heading4"/>
        <w:ind w:firstLine="180" w:end="0"/>
        <w:rPr/>
      </w:pPr>
      <w:r>
        <w:rPr/>
      </w:r>
    </w:p>
    <w:p>
      <w:pPr>
        <w:pStyle w:val="Heading4"/>
        <w:ind w:firstLine="180" w:end="0"/>
        <w:rPr/>
      </w:pPr>
      <w:r>
        <w:rPr/>
        <w:t>Table of Contents</w:t>
      </w:r>
    </w:p>
    <w:p>
      <w:pPr>
        <w:pStyle w:val="Normal"/>
        <w:ind w:hanging="540" w:start="540" w:end="0"/>
        <w:rPr>
          <w:b/>
          <w:color w:val="000000"/>
          <w:sz w:val="28"/>
          <w:lang w:eastAsia="en-US"/>
        </w:rPr>
      </w:pPr>
      <w:r>
        <w:rPr>
          <w:b/>
          <w:color w:val="000000"/>
          <w:sz w:val="28"/>
          <w:lang w:eastAsia="en-US"/>
        </w:rPr>
      </w:r>
    </w:p>
    <w:p>
      <w:pPr>
        <w:pStyle w:val="Normal"/>
        <w:rPr>
          <w:b/>
          <w:color w:val="000000"/>
          <w:sz w:val="32"/>
          <w:lang w:eastAsia="en-US"/>
        </w:rPr>
      </w:pPr>
      <w:r>
        <w:rPr>
          <w:b/>
          <w:color w:val="000000"/>
          <w:sz w:val="32"/>
          <w:lang w:eastAsia="en-US"/>
        </w:rPr>
      </w:r>
    </w:p>
    <w:p>
      <w:pPr>
        <w:pStyle w:val="Normal"/>
        <w:ind w:hanging="540" w:start="540" w:end="0"/>
        <w:rPr>
          <w:b/>
          <w:color w:val="000000"/>
          <w:sz w:val="32"/>
          <w:lang w:eastAsia="en-US"/>
        </w:rPr>
      </w:pPr>
      <w:r>
        <w:rPr>
          <w:b/>
          <w:color w:val="000000"/>
          <w:sz w:val="32"/>
          <w:lang w:eastAsia="en-US"/>
        </w:rPr>
      </w:r>
    </w:p>
    <w:p>
      <w:pPr>
        <w:pStyle w:val="Normal"/>
        <w:ind w:hanging="720" w:start="1440" w:end="0"/>
        <w:rPr/>
      </w:pPr>
      <w:r>
        <w:rPr>
          <w:b/>
          <w:color w:val="000000"/>
          <w:sz w:val="40"/>
          <w:lang w:eastAsia="en-US"/>
        </w:rPr>
        <w:t>1.</w:t>
      </w:r>
      <w:r>
        <w:rPr>
          <w:b/>
          <w:color w:val="000000"/>
          <w:sz w:val="32"/>
          <w:lang w:eastAsia="en-US"/>
        </w:rPr>
        <w:t xml:space="preserve"> </w:t>
        <w:tab/>
      </w:r>
      <w:r>
        <w:rPr>
          <w:b/>
          <w:color w:val="000000"/>
          <w:sz w:val="40"/>
          <w:lang w:eastAsia="en-US"/>
        </w:rPr>
        <w:t>Preliminary Terms of Power Purchase Agreement</w:t>
      </w:r>
      <w:r>
        <w:rPr>
          <w:b/>
          <w:color w:val="000000"/>
          <w:sz w:val="32"/>
          <w:lang w:eastAsia="en-US"/>
        </w:rPr>
        <w:t xml:space="preserve"> </w:t>
      </w:r>
    </w:p>
    <w:p>
      <w:pPr>
        <w:pStyle w:val="Normal"/>
        <w:ind w:hanging="540" w:start="540" w:end="0"/>
        <w:rPr>
          <w:b/>
          <w:color w:val="000000"/>
          <w:sz w:val="32"/>
          <w:lang w:eastAsia="en-US"/>
        </w:rPr>
      </w:pPr>
      <w:r>
        <w:rPr>
          <w:b/>
          <w:color w:val="000000"/>
          <w:sz w:val="32"/>
          <w:lang w:eastAsia="en-US"/>
        </w:rPr>
      </w:r>
    </w:p>
    <w:p>
      <w:pPr>
        <w:pStyle w:val="Normal"/>
        <w:ind w:firstLine="180" w:start="540" w:end="0"/>
        <w:rPr>
          <w:b/>
          <w:color w:val="000000"/>
          <w:sz w:val="32"/>
          <w:lang w:eastAsia="en-US"/>
        </w:rPr>
      </w:pPr>
      <w:r>
        <w:rPr>
          <w:b/>
          <w:color w:val="000000"/>
          <w:sz w:val="40"/>
          <w:lang w:eastAsia="en-US"/>
        </w:rPr>
        <w:t>2</w:t>
      </w:r>
      <w:r>
        <w:rPr>
          <w:b/>
          <w:color w:val="000000"/>
          <w:sz w:val="32"/>
          <w:lang w:eastAsia="en-US"/>
        </w:rPr>
        <w:t>.</w:t>
        <w:tab/>
      </w:r>
      <w:r>
        <w:rPr>
          <w:b/>
          <w:color w:val="000000"/>
          <w:sz w:val="40"/>
          <w:lang w:eastAsia="en-US"/>
        </w:rPr>
        <w:t>The Power Markets</w:t>
      </w:r>
    </w:p>
    <w:p>
      <w:pPr>
        <w:pStyle w:val="Normal"/>
        <w:ind w:start="1440" w:end="0"/>
        <w:rPr>
          <w:b/>
          <w:color w:val="000000"/>
          <w:sz w:val="32"/>
          <w:lang w:eastAsia="en-US"/>
        </w:rPr>
      </w:pPr>
      <w:r>
        <w:rPr>
          <w:b/>
          <w:color w:val="000000"/>
          <w:sz w:val="32"/>
          <w:lang w:eastAsia="en-US"/>
        </w:rPr>
      </w:r>
    </w:p>
    <w:p>
      <w:pPr>
        <w:pStyle w:val="Normal"/>
        <w:ind w:hanging="720" w:start="1440" w:end="0"/>
        <w:rPr>
          <w:b/>
          <w:color w:val="000000"/>
          <w:sz w:val="32"/>
          <w:lang w:eastAsia="en-US"/>
        </w:rPr>
      </w:pPr>
      <w:r>
        <w:rPr>
          <w:b/>
          <w:color w:val="000000"/>
          <w:sz w:val="40"/>
          <w:lang w:eastAsia="en-US"/>
        </w:rPr>
        <w:t>3</w:t>
      </w:r>
      <w:r>
        <w:rPr>
          <w:b/>
          <w:color w:val="000000"/>
          <w:sz w:val="32"/>
          <w:lang w:eastAsia="en-US"/>
        </w:rPr>
        <w:t xml:space="preserve">. </w:t>
        <w:tab/>
      </w:r>
      <w:r>
        <w:rPr>
          <w:b/>
          <w:color w:val="000000"/>
          <w:sz w:val="40"/>
          <w:lang w:eastAsia="en-US"/>
        </w:rPr>
        <w:t>S&amp;P’s Write-up of Enron Generation Company</w:t>
      </w:r>
    </w:p>
    <w:p>
      <w:pPr>
        <w:pStyle w:val="Normal"/>
        <w:rPr>
          <w:b/>
          <w:color w:val="000000"/>
          <w:sz w:val="32"/>
          <w:lang w:eastAsia="en-US"/>
        </w:rPr>
      </w:pPr>
      <w:r>
        <w:rPr>
          <w:b/>
          <w:color w:val="000000"/>
          <w:sz w:val="32"/>
          <w:lang w:eastAsia="en-US"/>
        </w:rPr>
      </w:r>
    </w:p>
    <w:p>
      <w:pPr>
        <w:pStyle w:val="Normal"/>
        <w:ind w:start="720" w:end="0"/>
        <w:rPr>
          <w:b/>
          <w:color w:val="000000"/>
          <w:sz w:val="32"/>
          <w:lang w:eastAsia="en-US"/>
        </w:rPr>
      </w:pPr>
      <w:r>
        <w:rPr>
          <w:b/>
          <w:color w:val="000000"/>
          <w:sz w:val="32"/>
          <w:lang w:eastAsia="en-US"/>
        </w:rPr>
      </w:r>
    </w:p>
    <w:p>
      <w:pPr>
        <w:pStyle w:val="Normal"/>
        <w:rPr>
          <w:b/>
          <w:color w:val="000000"/>
          <w:sz w:val="32"/>
          <w:lang w:eastAsia="en-US"/>
        </w:rPr>
      </w:pPr>
      <w:r>
        <w:rPr>
          <w:b/>
          <w:color w:val="000000"/>
          <w:sz w:val="32"/>
          <w:lang w:eastAsia="en-US"/>
        </w:rPr>
      </w:r>
    </w:p>
    <w:p>
      <w:pPr>
        <w:pStyle w:val="Normal"/>
        <w:ind w:start="720" w:end="0"/>
        <w:rPr>
          <w:b/>
          <w:color w:val="000000"/>
          <w:sz w:val="32"/>
          <w:lang w:eastAsia="en-US"/>
        </w:rPr>
      </w:pPr>
      <w:r>
        <w:rPr>
          <w:b/>
          <w:color w:val="000000"/>
          <w:sz w:val="32"/>
          <w:lang w:eastAsia="en-US"/>
        </w:rPr>
      </w:r>
    </w:p>
    <w:p>
      <w:pPr>
        <w:pStyle w:val="Normal"/>
        <w:ind w:hanging="540" w:start="540" w:end="0"/>
        <w:rPr>
          <w:b/>
          <w:color w:val="000000"/>
          <w:sz w:val="28"/>
          <w:lang w:eastAsia="en-US"/>
        </w:rPr>
      </w:pPr>
      <w:r>
        <w:rPr>
          <w:b/>
          <w:color w:val="000000"/>
          <w:sz w:val="28"/>
          <w:lang w:eastAsia="en-US"/>
        </w:rPr>
        <w:tab/>
      </w:r>
    </w:p>
    <w:p>
      <w:pPr>
        <w:pStyle w:val="Normal"/>
        <w:rPr>
          <w:b/>
          <w:color w:val="000000"/>
          <w:sz w:val="28"/>
          <w:lang w:eastAsia="en-US"/>
        </w:rPr>
      </w:pPr>
      <w:r>
        <w:rPr>
          <w:b/>
          <w:color w:val="000000"/>
          <w:sz w:val="28"/>
          <w:lang w:eastAsia="en-U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start="0" w:end="0"/>
        <w:rPr>
          <w:b w:val="false"/>
          <w:color w:val="auto"/>
          <w:sz w:val="20"/>
          <w:lang w:eastAsia="en-CA"/>
        </w:rPr>
      </w:pPr>
      <w:r>
        <w:rPr>
          <w:b w:val="false"/>
          <w:color w:val="auto"/>
          <w:sz w:val="20"/>
          <w:lang w:eastAsia="en-CA"/>
        </w:rPr>
      </w:r>
    </w:p>
    <w:p>
      <w:pPr>
        <w:pStyle w:val="Normal"/>
        <w:rPr>
          <w:b/>
          <w:color w:val="auto"/>
          <w:sz w:val="20"/>
          <w:lang w:eastAsia="en-CA"/>
        </w:rPr>
      </w:pPr>
      <w:r>
        <w:rPr>
          <w:b/>
          <w:color w:val="auto"/>
          <w:sz w:val="20"/>
          <w:lang w:eastAsia="en-CA"/>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900" w:start="1440" w:end="0"/>
        <w:rPr>
          <w:sz w:val="36"/>
        </w:rPr>
      </w:pPr>
      <w:r>
        <w:rPr/>
        <w:t>1.</w:t>
        <w:tab/>
        <w:t>Preliminary Terms of Power Purchase Agreement</w:t>
      </w:r>
    </w:p>
    <w:p>
      <w:pPr>
        <w:pStyle w:val="Heading4"/>
        <w:rPr>
          <w:sz w:val="36"/>
        </w:rPr>
      </w:pPr>
      <w:r>
        <w:rPr>
          <w:sz w:val="3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start="0" w:end="0"/>
        <w:rPr/>
      </w:pPr>
      <w:r>
        <w:rPr/>
      </w:r>
    </w:p>
    <w:p>
      <w:pPr>
        <w:pStyle w:val="Header"/>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t>DRAFT: FOR REVIEW AND DISCUSSION PURPOSES ONLY</w:t>
      </w:r>
    </w:p>
    <w:p>
      <w:pPr>
        <w:pStyle w:val="Heading"/>
        <w:rPr>
          <w:rFonts w:ascii="Times New Roman" w:hAnsi="Times New Roman" w:cs="Times New Roman"/>
        </w:rPr>
      </w:pPr>
      <w:r>
        <w:rPr>
          <w:rFonts w:cs="Times New Roman" w:ascii="Times New Roman" w:hAnsi="Times New Roman"/>
        </w:rPr>
      </w:r>
    </w:p>
    <w:p>
      <w:pPr>
        <w:pStyle w:val="Heading"/>
        <w:rPr>
          <w:rFonts w:ascii="Times New Roman" w:hAnsi="Times New Roman" w:cs="Times New Roman"/>
        </w:rPr>
      </w:pPr>
      <w:r>
        <w:rPr>
          <w:rFonts w:cs="Times New Roman" w:ascii="Times New Roman" w:hAnsi="Times New Roman"/>
        </w:rPr>
        <w:t>Power Purchase Agreements</w:t>
      </w:r>
    </w:p>
    <w:p>
      <w:pPr>
        <w:pStyle w:val="Normal"/>
        <w:rPr>
          <w:rFonts w:ascii="Times New Roman" w:hAnsi="Times New Roman" w:cs="Times New Roman"/>
          <w:sz w:val="22"/>
        </w:rPr>
      </w:pPr>
      <w:r>
        <w:rPr>
          <w:rFonts w:cs="Times New Roman"/>
          <w:sz w:val="22"/>
        </w:rPr>
      </w:r>
    </w:p>
    <w:tbl>
      <w:tblPr>
        <w:tblW w:w="9144" w:type="dxa"/>
        <w:jc w:val="start"/>
        <w:tblInd w:w="144" w:type="dxa"/>
        <w:tblLayout w:type="fixed"/>
        <w:tblCellMar>
          <w:top w:w="0" w:type="dxa"/>
          <w:start w:w="108" w:type="dxa"/>
          <w:bottom w:w="0" w:type="dxa"/>
          <w:end w:w="108" w:type="dxa"/>
        </w:tblCellMar>
      </w:tblPr>
      <w:tblGrid>
        <w:gridCol w:w="4554"/>
        <w:gridCol w:w="4590"/>
      </w:tblGrid>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Buyer</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Enron Power Marketing, Inc.</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 xml:space="preserve">Seller </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NewCo.</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Fixed Price Period</w:t>
            </w:r>
          </w:p>
          <w:p>
            <w:pPr>
              <w:pStyle w:val="Normal"/>
              <w:rPr>
                <w:sz w:val="22"/>
              </w:rPr>
            </w:pPr>
            <w:r>
              <w:rPr>
                <w:sz w:val="22"/>
              </w:rPr>
            </w:r>
          </w:p>
          <w:p>
            <w:pPr>
              <w:pStyle w:val="Heading2"/>
              <w:ind w:hanging="0" w:start="0"/>
              <w:rPr>
                <w:rFonts w:ascii="Times New Roman" w:hAnsi="Times New Roman" w:cs="Times New Roman"/>
                <w:b w:val="false"/>
                <w:i/>
                <w:i/>
                <w:sz w:val="22"/>
              </w:rPr>
            </w:pPr>
            <w:r>
              <w:rPr>
                <w:rFonts w:cs="Times New Roman" w:ascii="Times New Roman" w:hAnsi="Times New Roman"/>
                <w:b w:val="false"/>
                <w:i/>
                <w:sz w:val="22"/>
              </w:rPr>
              <w:t>See Attached PPA Summary Table</w:t>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Buyer must pay a fixed monthly Demand Charge</w:t>
            </w:r>
            <w:r>
              <w:rPr>
                <w:sz w:val="22"/>
                <w:vertAlign w:val="superscript"/>
              </w:rPr>
              <w:t>*</w:t>
            </w:r>
            <w:r>
              <w:rPr>
                <w:sz w:val="22"/>
              </w:rPr>
              <w:t xml:space="preserve"> in exchange for its right to capacity, energy and ancillary services.  When energy or ancillary services are scheduled, Buyer must supply fuel, take output and pay an Energy Charge</w:t>
            </w:r>
            <w:r>
              <w:rPr>
                <w:sz w:val="22"/>
                <w:vertAlign w:val="superscript"/>
              </w:rPr>
              <w:t>*</w:t>
            </w:r>
            <w:r>
              <w:rPr>
                <w:sz w:val="22"/>
              </w:rPr>
              <w:t xml:space="preserve"> plus a Start Charge</w:t>
            </w:r>
            <w:r>
              <w:rPr>
                <w:sz w:val="22"/>
                <w:vertAlign w:val="superscript"/>
              </w:rPr>
              <w:t>*</w:t>
            </w:r>
            <w:r>
              <w:rPr>
                <w:sz w:val="22"/>
              </w:rPr>
              <w: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Quantity</w:t>
            </w:r>
          </w:p>
          <w:p>
            <w:pPr>
              <w:pStyle w:val="Normal"/>
              <w:rPr>
                <w:sz w:val="22"/>
              </w:rPr>
            </w:pPr>
            <w:r>
              <w:rPr>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Actual output level of each plant as established initially by a performance test and calculated annually based upon agreed upon curves (subject to either party’s right to request a re-test with the cost thereof to be shared equally by both parties).</w:t>
            </w:r>
          </w:p>
          <w:p>
            <w:pPr>
              <w:pStyle w:val="Normal"/>
              <w:rPr>
                <w:sz w:val="22"/>
              </w:rPr>
            </w:pPr>
            <w:r>
              <w:rPr>
                <w:sz w:val="22"/>
              </w:rPr>
              <w:t xml:space="preserve"> </w:t>
            </w:r>
          </w:p>
          <w:p>
            <w:pPr>
              <w:pStyle w:val="Normal"/>
              <w:rPr>
                <w:sz w:val="22"/>
              </w:rPr>
            </w:pPr>
            <w:r>
              <w:rPr>
                <w:sz w:val="22"/>
              </w:rPr>
              <w:t>In each hour, quantity is adjusted for ambient conditions to calculate the amount of available output.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Normal"/>
              <w:rPr/>
            </w:pPr>
            <w:r>
              <w:rPr>
                <w:sz w:val="22"/>
              </w:rPr>
              <w:t xml:space="preserve"> </w:t>
            </w:r>
            <w:r>
              <w:rPr>
                <w:b/>
                <w:sz w:val="22"/>
              </w:rPr>
              <w:t>Hours in which Buyer can Schedule</w:t>
            </w:r>
          </w:p>
          <w:p>
            <w:pPr>
              <w:pStyle w:val="Normal"/>
              <w:rPr>
                <w:b/>
                <w:sz w:val="22"/>
              </w:rPr>
            </w:pPr>
            <w:r>
              <w:rPr>
                <w:b/>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On Peak Hours</w:t>
            </w:r>
            <w:r>
              <w:rPr>
                <w:sz w:val="22"/>
                <w:vertAlign w:val="superscript"/>
              </w:rPr>
              <w:t>*</w:t>
            </w:r>
            <w:r>
              <w:rPr>
                <w:sz w:val="22"/>
              </w:rPr>
              <w:t xml:space="preserve"> are those listed on the </w:t>
            </w:r>
            <w:r>
              <w:rPr>
                <w:i/>
                <w:sz w:val="22"/>
              </w:rPr>
              <w:t>PPA Summary Table</w:t>
            </w:r>
            <w:r>
              <w:rPr>
                <w:sz w:val="22"/>
              </w:rPr>
              <w:t>.</w:t>
            </w:r>
          </w:p>
          <w:p>
            <w:pPr>
              <w:pStyle w:val="Normal"/>
              <w:rPr>
                <w:sz w:val="22"/>
              </w:rPr>
            </w:pPr>
            <w:r>
              <w:rPr>
                <w:sz w:val="22"/>
              </w:rPr>
            </w:r>
          </w:p>
          <w:p>
            <w:pPr>
              <w:pStyle w:val="Normal"/>
              <w:rPr>
                <w:sz w:val="22"/>
              </w:rPr>
            </w:pPr>
            <w:r>
              <w:rPr>
                <w:sz w:val="22"/>
              </w:rPr>
              <w:t>During Off Peak Hours (those other than On Peak Hours), Seller has a best efforts obligation to supply but there are no penalty provisions associated with a failure to deliver.</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Minimum Block Size, Duration</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Size</w:t>
            </w:r>
            <w:r>
              <w:rPr>
                <w:sz w:val="22"/>
                <w:vertAlign w:val="superscript"/>
              </w:rPr>
              <w:t>*</w:t>
            </w:r>
            <w:r>
              <w:rPr>
                <w:sz w:val="22"/>
              </w:rPr>
              <w:t xml:space="preserve"> – </w:t>
            </w:r>
            <w:r>
              <w:rPr>
                <w:i/>
                <w:sz w:val="22"/>
              </w:rPr>
              <w:t>See Attached PPA Summary Table</w:t>
            </w:r>
          </w:p>
          <w:p>
            <w:pPr>
              <w:pStyle w:val="Normal"/>
              <w:rPr>
                <w:sz w:val="22"/>
              </w:rPr>
            </w:pPr>
            <w:r>
              <w:rPr>
                <w:sz w:val="22"/>
              </w:rPr>
              <w:t>Minimum Duration = 2 hours.</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Guaranteed Availability for Damages</w:t>
            </w:r>
          </w:p>
          <w:p>
            <w:pPr>
              <w:pStyle w:val="Normal"/>
              <w:rPr>
                <w:sz w:val="22"/>
              </w:rPr>
            </w:pPr>
            <w:r>
              <w:rPr>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i/>
                <w:sz w:val="22"/>
              </w:rPr>
              <w:t>See Attached PPA Summary Table</w:t>
            </w:r>
            <w:r>
              <w:rPr>
                <w:sz w:val="22"/>
              </w:rPr>
              <w:t xml:space="preserve"> for Availability Requirements. </w:t>
            </w:r>
          </w:p>
          <w:p>
            <w:pPr>
              <w:pStyle w:val="Normal"/>
              <w:rPr>
                <w:sz w:val="22"/>
              </w:rPr>
            </w:pPr>
            <w:r>
              <w:rPr>
                <w:sz w:val="22"/>
              </w:rPr>
            </w:r>
          </w:p>
          <w:p>
            <w:pPr>
              <w:pStyle w:val="Normal"/>
              <w:rPr/>
            </w:pPr>
            <w:r>
              <w:rPr>
                <w:sz w:val="22"/>
                <w:u w:val="single"/>
              </w:rPr>
              <w:t>Summer Months</w:t>
            </w:r>
            <w:r>
              <w:rPr>
                <w:sz w:val="22"/>
              </w:rPr>
              <w:t xml:space="preserve"> = May, June, July, August, September</w:t>
              <w:tab/>
            </w:r>
          </w:p>
          <w:p>
            <w:pPr>
              <w:pStyle w:val="Normal"/>
              <w:rPr/>
            </w:pPr>
            <w:r>
              <w:rPr>
                <w:sz w:val="22"/>
                <w:u w:val="single"/>
              </w:rPr>
              <w:t>Shoulder Months</w:t>
            </w:r>
            <w:r>
              <w:rPr>
                <w:sz w:val="22"/>
              </w:rPr>
              <w:t xml:space="preserve"> = March, October</w:t>
            </w:r>
          </w:p>
          <w:p>
            <w:pPr>
              <w:pStyle w:val="Normal"/>
              <w:rPr/>
            </w:pPr>
            <w:r>
              <w:rPr>
                <w:sz w:val="22"/>
                <w:u w:val="single"/>
              </w:rPr>
              <w:t>Winter Months</w:t>
            </w:r>
            <w:r>
              <w:rPr>
                <w:sz w:val="22"/>
              </w:rPr>
              <w:t xml:space="preserve"> = April, November, December, January, February</w:t>
              <w:tab/>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4"/>
              <w:rPr>
                <w:sz w:val="22"/>
              </w:rPr>
            </w:pPr>
            <w:r>
              <w:rPr>
                <w:sz w:val="22"/>
              </w:rPr>
              <w:t>Damages</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Cost of cover damages.</w:t>
            </w:r>
          </w:p>
        </w:tc>
      </w:tr>
    </w:tbl>
    <w:p>
      <w:pPr>
        <w:pStyle w:val="Normal"/>
        <w:ind w:hanging="540" w:start="540" w:end="0"/>
        <w:rPr>
          <w:color w:val="000000"/>
          <w:lang w:eastAsia="en-US"/>
        </w:rPr>
      </w:pPr>
      <w:r>
        <w:rPr>
          <w:color w:val="000000"/>
          <w:lang w:eastAsia="en-US"/>
        </w:rPr>
      </w:r>
    </w:p>
    <w:p>
      <w:pPr>
        <w:pStyle w:val="Footer"/>
        <w:rPr/>
      </w:pPr>
      <w:r>
        <w:rPr>
          <w:sz w:val="22"/>
          <w:vertAlign w:val="superscript"/>
        </w:rPr>
        <w:t>*</w:t>
      </w:r>
      <w:r>
        <w:rPr>
          <w:sz w:val="22"/>
        </w:rPr>
        <w:t xml:space="preserve"> Terms are defined on the PPA Summary Table attached hereto</w:t>
      </w:r>
    </w:p>
    <w:p>
      <w:pPr>
        <w:pStyle w:val="Normal"/>
        <w:ind w:hanging="540" w:start="540" w:end="0"/>
        <w:rPr>
          <w:b/>
          <w:color w:val="000000"/>
          <w:sz w:val="28"/>
          <w:lang w:eastAsia="en-US"/>
        </w:rPr>
      </w:pPr>
      <w:r>
        <w:rPr>
          <w:b/>
          <w:color w:val="000000"/>
          <w:sz w:val="28"/>
          <w:lang w:eastAsia="en-US"/>
        </w:rPr>
      </w:r>
    </w:p>
    <w:p>
      <w:pPr>
        <w:pStyle w:val="Normal"/>
        <w:ind w:hanging="540" w:start="540" w:end="0"/>
        <w:jc w:val="end"/>
        <w:rPr>
          <w:b/>
          <w:color w:val="000000"/>
          <w:sz w:val="28"/>
          <w:lang w:eastAsia="en-US"/>
        </w:rPr>
      </w:pPr>
      <w:r>
        <w:rPr>
          <w:b/>
          <w:color w:val="000000"/>
          <w:sz w:val="28"/>
          <w:lang w:eastAsia="en-US"/>
        </w:rPr>
      </w:r>
    </w:p>
    <w:p>
      <w:pPr>
        <w:pStyle w:val="Normal"/>
        <w:ind w:hanging="540" w:start="540" w:end="0"/>
        <w:jc w:val="end"/>
        <w:rPr/>
      </w:pPr>
      <w:r>
        <w:rPr/>
      </w:r>
    </w:p>
    <w:p>
      <w:pPr>
        <w:pStyle w:val="Normal"/>
        <w:rPr/>
      </w:pPr>
      <w:r>
        <w:rPr/>
      </w:r>
    </w:p>
    <w:p>
      <w:pPr>
        <w:pStyle w:val="Normal"/>
        <w:ind w:hanging="540" w:start="540" w:end="0"/>
        <w:jc w:val="end"/>
        <w:rPr/>
      </w:pPr>
      <w:r>
        <w:rPr/>
        <w:t>DRAFT: FOR REVIEW AND DISCUSSION PURPOSES ONLY</w:t>
      </w:r>
    </w:p>
    <w:p>
      <w:pPr>
        <w:pStyle w:val="Normal"/>
        <w:ind w:hanging="540" w:start="540" w:end="0"/>
        <w:jc w:val="end"/>
        <w:rPr>
          <w:b/>
          <w:color w:val="000000"/>
          <w:sz w:val="28"/>
          <w:lang w:eastAsia="en-US"/>
        </w:rPr>
      </w:pPr>
      <w:r>
        <w:rPr>
          <w:b/>
          <w:color w:val="000000"/>
          <w:sz w:val="28"/>
          <w:lang w:eastAsia="en-US"/>
        </w:rPr>
      </w:r>
    </w:p>
    <w:tbl>
      <w:tblPr>
        <w:tblW w:w="9144" w:type="dxa"/>
        <w:jc w:val="start"/>
        <w:tblInd w:w="144" w:type="dxa"/>
        <w:tblLayout w:type="fixed"/>
        <w:tblCellMar>
          <w:top w:w="0" w:type="dxa"/>
          <w:start w:w="108" w:type="dxa"/>
          <w:bottom w:w="0" w:type="dxa"/>
          <w:end w:w="108" w:type="dxa"/>
        </w:tblCellMar>
      </w:tblPr>
      <w:tblGrid>
        <w:gridCol w:w="4554"/>
        <w:gridCol w:w="4590"/>
      </w:tblGrid>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Gas Transportation</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During Fixed Price Period, Seller shall own the gas transportation rights but Buyer shall be entitled to exclusive use thereof and must pay all costs.</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Automatic Generating Control</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Buyer has right to install, pay for and utilize automatic generation control.</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 xml:space="preserve">Payment </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Demand Charges and Energy Charges paid monthly.</w:t>
            </w:r>
          </w:p>
          <w:p>
            <w:pPr>
              <w:pStyle w:val="Normal"/>
              <w:rPr>
                <w:sz w:val="22"/>
              </w:rPr>
            </w:pPr>
            <w:r>
              <w:rPr>
                <w:sz w:val="22"/>
              </w:rPr>
            </w:r>
          </w:p>
          <w:p>
            <w:pPr>
              <w:pStyle w:val="Normal"/>
              <w:rPr>
                <w:sz w:val="22"/>
              </w:rPr>
            </w:pPr>
            <w:r>
              <w:rPr>
                <w:sz w:val="22"/>
              </w:rPr>
              <w:t>Start Charges paid annually.</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Event of Default</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 xml:space="preserve">Typical events of default, including if the average monthly actual availability is below: (1) 80% for any consecutive twelve month period, (2) 85% for any consecutive twenty-four month period or (3) 90% for the Summer Months in any calendar year. </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Heat Rate Guaranty</w:t>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The heat rate of each plant shall not exceed the Guaranteed Heat Rate</w:t>
            </w:r>
            <w:r>
              <w:rPr>
                <w:sz w:val="22"/>
                <w:vertAlign w:val="superscript"/>
              </w:rPr>
              <w:t>*</w:t>
            </w:r>
            <w:r>
              <w:rPr>
                <w:sz w:val="22"/>
              </w:rPr>
              <w: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Heat Rate Penalty</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Seller shall pay the actual fuel costs (based on Buyer’s cost therefor) for any additional fuel required because the actual plant heat rate exceeds the Guaranteed Heat Rate.</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Scheduling</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 xml:space="preserve">Buyer shall be able to call on each plant after providing the Minimum Dispatch Notice prior to when the energy or ancillary services are needed.  </w:t>
            </w:r>
          </w:p>
          <w:p>
            <w:pPr>
              <w:pStyle w:val="Normal"/>
              <w:rPr>
                <w:sz w:val="22"/>
              </w:rPr>
            </w:pPr>
            <w:r>
              <w:rPr>
                <w:sz w:val="22"/>
              </w:rPr>
            </w:r>
          </w:p>
          <w:p>
            <w:pPr>
              <w:pStyle w:val="Normal"/>
              <w:rPr/>
            </w:pPr>
            <w:r>
              <w:rPr>
                <w:sz w:val="22"/>
              </w:rPr>
              <w:t>Buyer’s ability to Schedule shall be limited to the Maximum Annual MWh’s</w:t>
            </w:r>
            <w:r>
              <w:rPr>
                <w:sz w:val="22"/>
                <w:vertAlign w:val="superscript"/>
              </w:rPr>
              <w:t>*</w:t>
            </w:r>
            <w:r>
              <w:rPr>
                <w:sz w:val="22"/>
              </w:rPr>
              <w:t xml:space="preserve"> for each plant.</w:t>
            </w:r>
          </w:p>
        </w:tc>
      </w:tr>
    </w:tbl>
    <w:p>
      <w:pPr>
        <w:pStyle w:val="Normal"/>
        <w:rPr/>
      </w:pPr>
      <w:r>
        <w:rPr/>
      </w:r>
    </w:p>
    <w:p>
      <w:pPr>
        <w:sectPr>
          <w:headerReference w:type="default" r:id="rId2"/>
          <w:headerReference w:type="first" r:id="rId3"/>
          <w:footerReference w:type="default" r:id="rId4"/>
          <w:footerReference w:type="first" r:id="rId5"/>
          <w:type w:val="nextPage"/>
          <w:pgSz w:w="12240" w:h="15840"/>
          <w:pgMar w:left="1440" w:right="1440" w:gutter="0" w:header="720" w:top="1872" w:footer="432" w:bottom="1440"/>
          <w:pgNumType w:start="1" w:fmt="decimal"/>
          <w:formProt w:val="false"/>
          <w:titlePg/>
          <w:textDirection w:val="lrTb"/>
          <w:docGrid w:type="default" w:linePitch="360" w:charSpace="0"/>
        </w:sectPr>
        <w:pStyle w:val="Footer"/>
        <w:rPr>
          <w:b/>
          <w:color w:val="000000"/>
          <w:sz w:val="28"/>
          <w:lang w:eastAsia="en-US"/>
        </w:rPr>
      </w:pPr>
      <w:r>
        <w:rPr>
          <w:vertAlign w:val="superscript"/>
        </w:rPr>
        <w:t>*</w:t>
      </w:r>
      <w:r>
        <w:rPr/>
        <w:t xml:space="preserve"> Terms are defined on the PPA Summary Table attached hereto</w:t>
      </w:r>
    </w:p>
    <w:p>
      <w:pPr>
        <w:pStyle w:val="Normal"/>
        <w:jc w:val="end"/>
        <w:rPr/>
      </w:pPr>
      <w:r>
        <w:rPr/>
        <w:t>DRAFT: FOR REVIEW AND DISCUSSION PURPOSES ONLY</w:t>
      </w:r>
    </w:p>
    <w:p>
      <w:pPr>
        <w:pStyle w:val="Normal"/>
        <w:jc w:val="end"/>
        <w:rPr/>
      </w:pPr>
      <w:r>
        <w:rPr/>
      </w:r>
    </w:p>
    <w:tbl>
      <w:tblPr>
        <w:tblW w:w="12510" w:type="dxa"/>
        <w:jc w:val="start"/>
        <w:tblInd w:w="198" w:type="dxa"/>
        <w:tblLayout w:type="fixed"/>
        <w:tblCellMar>
          <w:top w:w="0" w:type="dxa"/>
          <w:start w:w="108" w:type="dxa"/>
          <w:bottom w:w="0" w:type="dxa"/>
          <w:end w:w="108" w:type="dxa"/>
        </w:tblCellMar>
      </w:tblPr>
      <w:tblGrid>
        <w:gridCol w:w="1530"/>
        <w:gridCol w:w="1800"/>
        <w:gridCol w:w="1800"/>
        <w:gridCol w:w="1890"/>
        <w:gridCol w:w="1800"/>
        <w:gridCol w:w="1800"/>
        <w:gridCol w:w="1890"/>
      </w:tblGrid>
      <w:tr>
        <w:trPr>
          <w:tblHeader w:val="true"/>
        </w:trPr>
        <w:tc>
          <w:tcPr>
            <w:tcW w:w="12510" w:type="dxa"/>
            <w:gridSpan w:val="7"/>
            <w:tcBorders>
              <w:top w:val="single" w:sz="4" w:space="0" w:color="000000"/>
              <w:start w:val="single" w:sz="4" w:space="0" w:color="000000"/>
              <w:bottom w:val="single" w:sz="4" w:space="0" w:color="000000"/>
              <w:end w:val="single" w:sz="4" w:space="0" w:color="000000"/>
            </w:tcBorders>
            <w:shd w:fill="E5E5E5" w:val="clear"/>
          </w:tcPr>
          <w:p>
            <w:pPr>
              <w:pStyle w:val="Normal"/>
              <w:ind w:start="522" w:end="0"/>
              <w:jc w:val="center"/>
              <w:rPr>
                <w:b/>
              </w:rPr>
            </w:pPr>
            <w:r>
              <w:rPr>
                <w:b/>
                <w:sz w:val="24"/>
              </w:rPr>
              <w:t>PPA SUMMARY TABLE</w:t>
            </w:r>
          </w:p>
        </w:tc>
      </w:tr>
      <w:tr>
        <w:trPr>
          <w:tblHeader w:val="true"/>
        </w:trPr>
        <w:tc>
          <w:tcPr>
            <w:tcW w:w="1530" w:type="dxa"/>
            <w:tcBorders>
              <w:top w:val="single" w:sz="4" w:space="0" w:color="000000"/>
              <w:start w:val="single" w:sz="4" w:space="0" w:color="000000"/>
              <w:bottom w:val="single" w:sz="4" w:space="0" w:color="000000"/>
              <w:end w:val="single" w:sz="4" w:space="0" w:color="000000"/>
            </w:tcBorders>
            <w:shd w:fill="E5E5E5" w:val="clear"/>
          </w:tcPr>
          <w:p>
            <w:pPr>
              <w:pStyle w:val="Normal"/>
              <w:snapToGrid w:val="false"/>
              <w:rPr>
                <w:b/>
              </w:rPr>
            </w:pPr>
            <w:r>
              <w:rPr>
                <w:b/>
              </w:rPr>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Brownsville</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Caledonia</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New Albany</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Wilton Center</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Wheatland</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Gleason</w:t>
            </w:r>
          </w:p>
        </w:tc>
      </w:tr>
      <w:tr>
        <w:trPr>
          <w:trHeight w:val="352" w:hRule="atLeast"/>
        </w:trPr>
        <w:tc>
          <w:tcPr>
            <w:tcW w:w="1530" w:type="dxa"/>
            <w:tcBorders>
              <w:top w:val="single" w:sz="4" w:space="0" w:color="000000"/>
              <w:start w:val="single" w:sz="4" w:space="0" w:color="000000"/>
              <w:bottom w:val="single" w:sz="4" w:space="0" w:color="000000"/>
              <w:end w:val="single" w:sz="4" w:space="0" w:color="000000"/>
            </w:tcBorders>
          </w:tcPr>
          <w:p>
            <w:pPr>
              <w:pStyle w:val="Normal"/>
              <w:ind w:start="-18" w:end="0"/>
              <w:rPr/>
            </w:pPr>
            <w:r>
              <w:rPr/>
              <w:t>Output**</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480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470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 xml:space="preserve">370 </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608</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480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530</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On Peak Hours</w:t>
            </w:r>
          </w:p>
          <w:p>
            <w:pPr>
              <w:pStyle w:val="Normal"/>
              <w:rPr/>
            </w:pPr>
            <w:r>
              <w:rPr/>
              <w:t>(Central Prevailing Time)</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Guaranteed Heat Rate** (HHV, Btu/kWh)</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11,406</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12,300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12,500</w:t>
            </w:r>
          </w:p>
        </w:tc>
        <w:tc>
          <w:tcPr>
            <w:tcW w:w="1800" w:type="dxa"/>
            <w:tcBorders>
              <w:top w:val="single" w:sz="4" w:space="0" w:color="000000"/>
              <w:start w:val="single" w:sz="4" w:space="0" w:color="000000"/>
              <w:bottom w:val="single" w:sz="4" w:space="0" w:color="000000"/>
              <w:end w:val="single" w:sz="4" w:space="0" w:color="000000"/>
            </w:tcBorders>
          </w:tcPr>
          <w:p>
            <w:pPr>
              <w:pStyle w:val="Normal"/>
              <w:ind w:hanging="21" w:start="21" w:end="0"/>
              <w:rPr/>
            </w:pPr>
            <w:r>
              <w:rPr/>
              <w:t>11,900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11,500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10,800</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Fixed Price Period</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r>
      <w:tr>
        <w:trPr/>
        <w:tc>
          <w:tcPr>
            <w:tcW w:w="1530" w:type="dxa"/>
            <w:tcBorders>
              <w:top w:val="single" w:sz="4" w:space="0" w:color="000000"/>
              <w:start w:val="single" w:sz="4" w:space="0" w:color="000000"/>
              <w:bottom w:val="single" w:sz="4" w:space="0" w:color="000000"/>
              <w:end w:val="single" w:sz="4" w:space="0" w:color="000000"/>
            </w:tcBorders>
          </w:tcPr>
          <w:p>
            <w:pPr>
              <w:pStyle w:val="Normal"/>
              <w:rPr/>
            </w:pPr>
            <w:r>
              <w:rPr/>
              <w:t>Demand Charge ($/Kw-mo)</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$4.00</w:t>
            </w:r>
          </w:p>
        </w:tc>
      </w:tr>
    </w:tbl>
    <w:p>
      <w:pPr>
        <w:pStyle w:val="Normal"/>
        <w:rPr/>
      </w:pPr>
      <w:r>
        <w:rPr/>
      </w:r>
    </w:p>
    <w:p>
      <w:pPr>
        <w:pStyle w:val="BodyText2"/>
        <w:rPr>
          <w:b w:val="false"/>
          <w:color w:val="000000"/>
          <w:sz w:val="20"/>
          <w:u w:val="none"/>
          <w:lang w:eastAsia="en-US"/>
        </w:rPr>
      </w:pPr>
      <w:r>
        <w:rPr>
          <w:b w:val="false"/>
          <w:sz w:val="20"/>
          <w:u w:val="none"/>
        </w:rPr>
        <w:t>**  Output and Heat Rate figures assuming new and clean 90º F, 14.524 p.s.i.a., 60% relative humidity.</w:t>
      </w:r>
      <w:r>
        <w:br w:type="page"/>
      </w:r>
    </w:p>
    <w:p>
      <w:pPr>
        <w:pStyle w:val="Normal"/>
        <w:ind w:hanging="540" w:start="540" w:end="0"/>
        <w:jc w:val="end"/>
        <w:rPr>
          <w:b/>
          <w:color w:val="000000"/>
          <w:sz w:val="28"/>
          <w:lang w:eastAsia="en-US"/>
        </w:rPr>
      </w:pPr>
      <w:r>
        <w:rPr/>
        <w:t>DRAFT: FOR REVIEW AND DISCUSSION PURPOSES ONLY</w:t>
      </w:r>
    </w:p>
    <w:p>
      <w:pPr>
        <w:pStyle w:val="Normal"/>
        <w:ind w:hanging="540" w:start="540" w:end="0"/>
        <w:rPr>
          <w:b/>
          <w:color w:val="000000"/>
          <w:sz w:val="28"/>
          <w:lang w:eastAsia="en-US"/>
        </w:rPr>
      </w:pPr>
      <w:r>
        <w:rPr>
          <w:b/>
          <w:color w:val="000000"/>
          <w:sz w:val="28"/>
          <w:lang w:eastAsia="en-US"/>
        </w:rPr>
      </w:r>
    </w:p>
    <w:tbl>
      <w:tblPr>
        <w:tblW w:w="12690" w:type="dxa"/>
        <w:jc w:val="start"/>
        <w:tblInd w:w="18" w:type="dxa"/>
        <w:tblLayout w:type="fixed"/>
        <w:tblCellMar>
          <w:top w:w="0" w:type="dxa"/>
          <w:start w:w="108" w:type="dxa"/>
          <w:bottom w:w="0" w:type="dxa"/>
          <w:end w:w="108" w:type="dxa"/>
        </w:tblCellMar>
      </w:tblPr>
      <w:tblGrid>
        <w:gridCol w:w="1800"/>
        <w:gridCol w:w="1710"/>
        <w:gridCol w:w="1800"/>
        <w:gridCol w:w="1800"/>
        <w:gridCol w:w="1890"/>
        <w:gridCol w:w="1800"/>
        <w:gridCol w:w="1890"/>
      </w:tblGrid>
      <w:tr>
        <w:trPr>
          <w:tblHeader w:val="true"/>
        </w:trPr>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snapToGrid w:val="false"/>
              <w:rPr/>
            </w:pPr>
            <w:r>
              <w:rPr/>
            </w:r>
          </w:p>
        </w:tc>
        <w:tc>
          <w:tcPr>
            <w:tcW w:w="171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Brownsville</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Caledonia</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New Albany</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Wilton Center</w:t>
            </w:r>
          </w:p>
        </w:tc>
        <w:tc>
          <w:tcPr>
            <w:tcW w:w="180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Wheatland</w:t>
            </w:r>
          </w:p>
        </w:tc>
        <w:tc>
          <w:tcPr>
            <w:tcW w:w="1890"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Gleason</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Energy Charge ($/MWh)</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$1.50</w:t>
            </w:r>
          </w:p>
        </w:tc>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rPr>
                <w:rFonts w:ascii="Times New Roman" w:hAnsi="Times New Roman" w:cs="Times New Roman"/>
              </w:rPr>
            </w:pPr>
            <w:r>
              <w:rPr>
                <w:rFonts w:cs="Times New Roman" w:ascii="Times New Roman" w:hAnsi="Times New Roman"/>
              </w:rPr>
              <w:t>$1.00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$2.00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$3.00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$1.50</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Start Charge ($/Start/Turbine)</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$1,500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$1,500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$3,000</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Maximum Annual MWh’s</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624,992</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544,140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410,270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2,002,000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461,313</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532,992</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Minimum Availability:</w:t>
            </w:r>
          </w:p>
          <w:p>
            <w:pPr>
              <w:pStyle w:val="Normal"/>
              <w:rPr/>
            </w:pPr>
            <w:r>
              <w:rPr/>
            </w:r>
          </w:p>
          <w:p>
            <w:pPr>
              <w:pStyle w:val="Normal"/>
              <w:numPr>
                <w:ilvl w:val="0"/>
                <w:numId w:val="11"/>
              </w:numPr>
              <w:rPr/>
            </w:pPr>
            <w:r>
              <w:rPr/>
              <w:t>Summer Months</w:t>
            </w:r>
          </w:p>
          <w:p>
            <w:pPr>
              <w:pStyle w:val="Normal"/>
              <w:rPr/>
            </w:pPr>
            <w:r>
              <w:rPr/>
            </w:r>
          </w:p>
          <w:p>
            <w:pPr>
              <w:pStyle w:val="Normal"/>
              <w:numPr>
                <w:ilvl w:val="0"/>
                <w:numId w:val="11"/>
              </w:numPr>
              <w:rPr/>
            </w:pPr>
            <w:r>
              <w:rPr/>
              <w:t>Shoulder Months</w:t>
            </w:r>
          </w:p>
          <w:p>
            <w:pPr>
              <w:pStyle w:val="Normal"/>
              <w:rPr/>
            </w:pPr>
            <w:r>
              <w:rPr/>
            </w:r>
          </w:p>
          <w:p>
            <w:pPr>
              <w:pStyle w:val="Normal"/>
              <w:numPr>
                <w:ilvl w:val="0"/>
                <w:numId w:val="11"/>
              </w:numPr>
              <w:rPr/>
            </w:pPr>
            <w:r>
              <w:rPr/>
              <w:t>Winter Months</w:t>
            </w:r>
          </w:p>
          <w:p>
            <w:pPr>
              <w:pStyle w:val="Normal"/>
              <w:rPr/>
            </w:pPr>
            <w:r>
              <w:rPr/>
            </w:r>
          </w:p>
        </w:tc>
        <w:tc>
          <w:tcPr>
            <w:tcW w:w="171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rStyle w:val="FootnoteCharacters"/>
                <w:rStyle w:val="FootnoteReference"/>
              </w:rPr>
              <w:footnoteReference w:id="2"/>
            </w:r>
          </w:p>
          <w:p>
            <w:pPr>
              <w:pStyle w:val="Normal"/>
              <w:rPr/>
            </w:pPr>
            <w:r>
              <w:rPr/>
            </w:r>
          </w:p>
          <w:p>
            <w:pPr>
              <w:pStyle w:val="Normal"/>
              <w:rPr/>
            </w:pPr>
            <w:r>
              <w:rPr/>
            </w:r>
          </w:p>
          <w:p>
            <w:pPr>
              <w:pStyle w:val="Normal"/>
              <w:rPr/>
            </w:pPr>
            <w:r>
              <w:rPr/>
              <w:t>95%</w:t>
            </w:r>
          </w:p>
        </w:tc>
        <w:tc>
          <w:tcPr>
            <w:tcW w:w="180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1</w:t>
            </w:r>
          </w:p>
          <w:p>
            <w:pPr>
              <w:pStyle w:val="Normal"/>
              <w:rPr/>
            </w:pPr>
            <w:r>
              <w:rPr/>
            </w:r>
          </w:p>
          <w:p>
            <w:pPr>
              <w:pStyle w:val="Normal"/>
              <w:rPr/>
            </w:pPr>
            <w:r>
              <w:rPr/>
            </w:r>
          </w:p>
          <w:p>
            <w:pPr>
              <w:pStyle w:val="Header"/>
              <w:tabs>
                <w:tab w:val="clear" w:pos="4320"/>
                <w:tab w:val="clear" w:pos="8640"/>
              </w:tabs>
              <w:rPr>
                <w:rFonts w:ascii="Times New Roman" w:hAnsi="Times New Roman" w:cs="Times New Roman"/>
              </w:rPr>
            </w:pPr>
            <w:r>
              <w:rPr>
                <w:rFonts w:cs="Times New Roman" w:ascii="Times New Roman" w:hAnsi="Times New Roman"/>
              </w:rPr>
              <w:t>95%</w:t>
            </w:r>
          </w:p>
        </w:tc>
        <w:tc>
          <w:tcPr>
            <w:tcW w:w="180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rStyle w:val="FootnoteCharacters"/>
                <w:rStyle w:val="FootnoteReference"/>
              </w:rPr>
              <w:footnoteReference w:id="3"/>
            </w:r>
          </w:p>
          <w:p>
            <w:pPr>
              <w:pStyle w:val="Normal"/>
              <w:rPr/>
            </w:pPr>
            <w:r>
              <w:rPr/>
            </w:r>
          </w:p>
          <w:p>
            <w:pPr>
              <w:pStyle w:val="Normal"/>
              <w:rPr/>
            </w:pPr>
            <w:r>
              <w:rPr/>
            </w:r>
          </w:p>
          <w:p>
            <w:pPr>
              <w:pStyle w:val="Normal"/>
              <w:rPr/>
            </w:pPr>
            <w:r>
              <w:rPr/>
              <w:t>95%</w:t>
            </w:r>
          </w:p>
        </w:tc>
        <w:tc>
          <w:tcPr>
            <w:tcW w:w="189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1</w:t>
            </w:r>
          </w:p>
          <w:p>
            <w:pPr>
              <w:pStyle w:val="Normal"/>
              <w:rPr/>
            </w:pPr>
            <w:r>
              <w:rPr/>
            </w:r>
          </w:p>
          <w:p>
            <w:pPr>
              <w:pStyle w:val="Normal"/>
              <w:rPr/>
            </w:pPr>
            <w:r>
              <w:rPr/>
            </w:r>
          </w:p>
          <w:p>
            <w:pPr>
              <w:pStyle w:val="Normal"/>
              <w:rPr/>
            </w:pPr>
            <w:r>
              <w:rPr/>
              <w:t>95%</w:t>
            </w:r>
          </w:p>
        </w:tc>
        <w:tc>
          <w:tcPr>
            <w:tcW w:w="1800"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1</w:t>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Normal"/>
              <w:rPr/>
            </w:pPr>
            <w:r>
              <w:rPr/>
              <w:t>95%</w:t>
            </w:r>
          </w:p>
        </w:tc>
        <w:tc>
          <w:tcPr>
            <w:tcW w:w="1890"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2</w:t>
            </w:r>
          </w:p>
          <w:p>
            <w:pPr>
              <w:pStyle w:val="Normal"/>
              <w:rPr/>
            </w:pPr>
            <w:r>
              <w:rPr/>
            </w:r>
          </w:p>
          <w:p>
            <w:pPr>
              <w:pStyle w:val="Normal"/>
              <w:rPr/>
            </w:pPr>
            <w:r>
              <w:rPr/>
            </w:r>
          </w:p>
          <w:p>
            <w:pPr>
              <w:pStyle w:val="Normal"/>
              <w:rPr/>
            </w:pPr>
            <w:r>
              <w:rPr/>
              <w:t>95%</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Minimum Block Size (MW)</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50</w:t>
            </w:r>
          </w:p>
        </w:tc>
      </w:tr>
      <w:tr>
        <w:trPr/>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Min Dispatch Notice (minutes)</w:t>
            </w:r>
          </w:p>
        </w:tc>
        <w:tc>
          <w:tcPr>
            <w:tcW w:w="1710" w:type="dxa"/>
            <w:tcBorders>
              <w:top w:val="single" w:sz="4" w:space="0" w:color="000000"/>
              <w:start w:val="single" w:sz="4" w:space="0" w:color="000000"/>
              <w:bottom w:val="single" w:sz="4" w:space="0" w:color="000000"/>
              <w:end w:val="single" w:sz="4" w:space="0" w:color="000000"/>
            </w:tcBorders>
          </w:tcPr>
          <w:p>
            <w:pPr>
              <w:pStyle w:val="Normal"/>
              <w:rPr/>
            </w:pPr>
            <w:r>
              <w:rPr/>
              <w:t>35</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25</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20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30</w:t>
            </w:r>
          </w:p>
        </w:tc>
        <w:tc>
          <w:tcPr>
            <w:tcW w:w="1800" w:type="dxa"/>
            <w:tcBorders>
              <w:top w:val="single" w:sz="4" w:space="0" w:color="000000"/>
              <w:start w:val="single" w:sz="4" w:space="0" w:color="000000"/>
              <w:bottom w:val="single" w:sz="4" w:space="0" w:color="000000"/>
              <w:end w:val="single" w:sz="4" w:space="0" w:color="000000"/>
            </w:tcBorders>
          </w:tcPr>
          <w:p>
            <w:pPr>
              <w:pStyle w:val="Normal"/>
              <w:rPr/>
            </w:pPr>
            <w:r>
              <w:rPr/>
              <w:t>30</w:t>
            </w:r>
          </w:p>
        </w:tc>
        <w:tc>
          <w:tcPr>
            <w:tcW w:w="1890" w:type="dxa"/>
            <w:tcBorders>
              <w:top w:val="single" w:sz="4" w:space="0" w:color="000000"/>
              <w:start w:val="single" w:sz="4" w:space="0" w:color="000000"/>
              <w:bottom w:val="single" w:sz="4" w:space="0" w:color="000000"/>
              <w:end w:val="single" w:sz="4" w:space="0" w:color="000000"/>
            </w:tcBorders>
          </w:tcPr>
          <w:p>
            <w:pPr>
              <w:pStyle w:val="Normal"/>
              <w:rPr/>
            </w:pPr>
            <w:r>
              <w:rPr/>
              <w:t>30</w:t>
            </w:r>
          </w:p>
        </w:tc>
      </w:tr>
    </w:tbl>
    <w:p>
      <w:pPr>
        <w:pStyle w:val="Normal"/>
        <w:rPr/>
      </w:pPr>
      <w:r>
        <w:rPr/>
      </w:r>
    </w:p>
    <w:p>
      <w:pPr>
        <w:pStyle w:val="Normal"/>
        <w:rPr/>
      </w:pPr>
      <w:r>
        <w:rPr/>
      </w:r>
    </w:p>
    <w:p>
      <w:pPr>
        <w:sectPr>
          <w:headerReference w:type="default" r:id="rId6"/>
          <w:headerReference w:type="first" r:id="rId7"/>
          <w:footerReference w:type="default" r:id="rId8"/>
          <w:footerReference w:type="first" r:id="rId9"/>
          <w:footnotePr>
            <w:numFmt w:val="decimal"/>
          </w:footnotePr>
          <w:type w:val="nextPage"/>
          <w:pgSz w:orient="landscape" w:w="15840" w:h="12240"/>
          <w:pgMar w:left="1440" w:right="1440" w:gutter="0" w:header="720" w:top="2059" w:footer="432" w:bottom="2045"/>
          <w:pgNumType w:start="5" w:fmt="decimal"/>
          <w:formProt w:val="false"/>
          <w:titlePg/>
          <w:textDirection w:val="lrTb"/>
          <w:docGrid w:type="default" w:linePitch="360" w:charSpace="0"/>
        </w:sect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ind w:firstLine="720" w:end="0"/>
        <w:rPr>
          <w:b/>
          <w:color w:val="000000"/>
          <w:sz w:val="40"/>
          <w:lang w:eastAsia="en-US"/>
        </w:rPr>
      </w:pPr>
      <w:r>
        <w:rPr>
          <w:b/>
          <w:color w:val="000000"/>
          <w:sz w:val="40"/>
          <w:lang w:eastAsia="en-US"/>
        </w:rPr>
      </w:r>
    </w:p>
    <w:p>
      <w:pPr>
        <w:pStyle w:val="Normal"/>
        <w:ind w:firstLine="720" w:end="0"/>
        <w:rPr>
          <w:color w:val="000000"/>
          <w:sz w:val="40"/>
          <w:lang w:eastAsia="en-US"/>
        </w:rPr>
      </w:pPr>
      <w:r>
        <w:rPr>
          <w:b/>
          <w:color w:val="000000"/>
          <w:sz w:val="40"/>
          <w:lang w:eastAsia="en-US"/>
        </w:rPr>
        <w:t>2.</w:t>
        <w:tab/>
        <w:t>The Power Markets</w:t>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Sec0"/>
        <w:numPr>
          <w:ilvl w:val="0"/>
          <w:numId w:val="0"/>
        </w:numPr>
        <w:outlineLvl w:val="0"/>
        <w:rPr>
          <w:rFonts w:ascii="Times New Roman" w:hAnsi="Times New Roman" w:cs="Times New Roman"/>
        </w:rPr>
      </w:pPr>
      <w:r>
        <w:rPr>
          <w:rFonts w:cs="Times New Roman" w:ascii="Times New Roman" w:hAnsi="Times New Roman"/>
        </w:rPr>
        <w:t>The Power Markets</w:t>
      </w:r>
    </w:p>
    <w:p>
      <w:pPr>
        <w:pStyle w:val="SecRN0"/>
        <w:numPr>
          <w:ilvl w:val="0"/>
          <w:numId w:val="0"/>
        </w:numPr>
        <w:ind w:hanging="720" w:start="720"/>
        <w:outlineLvl w:val="0"/>
        <w:rPr>
          <w:rFonts w:ascii="Times New Roman" w:hAnsi="Times New Roman" w:cs="Times New Roman"/>
        </w:rPr>
      </w:pPr>
      <w:r>
        <w:rPr>
          <w:rFonts w:cs="Times New Roman" w:ascii="Times New Roman" w:hAnsi="Times New Roman"/>
        </w:rPr>
        <w:t>I.</w:t>
        <w:tab/>
        <w:t xml:space="preserve">GENERAL OVERVIEW </w:t>
      </w:r>
    </w:p>
    <w:p>
      <w:pPr>
        <w:pStyle w:val="Normal"/>
        <w:rPr/>
      </w:pPr>
      <w:r>
        <w:rPr/>
        <w:t>The following table provides a summary outline of certain criteria with respect to the relevant markets for the 1999 and 2000 peaker assets (“Peaker Assets”).  The specific markets as identified by ICF Resources are TVA, a subregion of SERC, ComEd, a subregion of MAIN and Southern ECAR, a subregion of ECAR.</w:t>
      </w:r>
    </w:p>
    <w:p>
      <w:pPr>
        <w:pStyle w:val="Normal"/>
        <w:rPr/>
      </w:pPr>
      <w:r>
        <w:rPr/>
      </w:r>
    </w:p>
    <w:tbl>
      <w:tblPr>
        <w:tblW w:w="9900" w:type="dxa"/>
        <w:jc w:val="start"/>
        <w:tblInd w:w="0" w:type="dxa"/>
        <w:tblLayout w:type="fixed"/>
        <w:tblCellMar>
          <w:top w:w="0" w:type="dxa"/>
          <w:start w:w="0" w:type="dxa"/>
          <w:bottom w:w="0" w:type="dxa"/>
          <w:end w:w="0" w:type="dxa"/>
        </w:tblCellMar>
      </w:tblPr>
      <w:tblGrid>
        <w:gridCol w:w="3060"/>
        <w:gridCol w:w="2280"/>
        <w:gridCol w:w="2280"/>
        <w:gridCol w:w="2280"/>
      </w:tblGrid>
      <w:tr>
        <w:trPr/>
        <w:tc>
          <w:tcPr>
            <w:tcW w:w="306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Key parameters</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ComEd</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Southern ecar</w:t>
            </w:r>
          </w:p>
        </w:tc>
        <w:tc>
          <w:tcPr>
            <w:tcW w:w="2280" w:type="dxa"/>
            <w:tcBorders>
              <w:top w:val="single" w:sz="18" w:space="0" w:color="000000"/>
              <w:bottom w:val="single" w:sz="6" w:space="0" w:color="000000"/>
            </w:tcBorders>
            <w:shd w:fill="003380" w:val="clear"/>
          </w:tcPr>
          <w:p>
            <w:pPr>
              <w:pStyle w:val="Normal"/>
              <w:spacing w:before="36" w:after="36"/>
              <w:jc w:val="center"/>
              <w:rPr>
                <w:b/>
                <w:caps/>
                <w:color w:val="FFFFFF"/>
                <w:sz w:val="16"/>
              </w:rPr>
            </w:pPr>
            <w:r>
              <w:rPr>
                <w:b/>
                <w:caps/>
                <w:color w:val="FFFFFF"/>
                <w:sz w:val="16"/>
              </w:rPr>
              <w:t>tva</w:t>
            </w:r>
          </w:p>
        </w:tc>
      </w:tr>
      <w:tr>
        <w:trPr/>
        <w:tc>
          <w:tcPr>
            <w:tcW w:w="3060" w:type="dxa"/>
            <w:tcBorders/>
          </w:tcPr>
          <w:p>
            <w:pPr>
              <w:pStyle w:val="Heading7"/>
              <w:spacing w:before="300" w:after="0"/>
              <w:ind w:hanging="0" w:start="0"/>
              <w:rPr>
                <w:rFonts w:ascii="Times New Roman" w:hAnsi="Times New Roman" w:cs="Times New Roman"/>
              </w:rPr>
            </w:pPr>
            <w:r>
              <w:rPr>
                <w:rFonts w:cs="Times New Roman" w:ascii="Times New Roman" w:hAnsi="Times New Roman"/>
              </w:rPr>
              <w:t>Market Maturity</w:t>
            </w:r>
          </w:p>
        </w:tc>
        <w:tc>
          <w:tcPr>
            <w:tcW w:w="2280" w:type="dxa"/>
            <w:tcBorders/>
          </w:tcPr>
          <w:p>
            <w:pPr>
              <w:pStyle w:val="Normal"/>
              <w:spacing w:before="300" w:after="0"/>
              <w:ind w:start="180" w:end="210"/>
              <w:jc w:val="center"/>
              <w:rPr/>
            </w:pPr>
            <w:r>
              <w:rPr/>
              <w:t>Robust Wholesale Market</w:t>
              <w:br/>
              <w:t>Futures Contract (CBOT)</w:t>
              <w:br/>
              <w:t>Active Bilateral Market</w:t>
            </w:r>
          </w:p>
        </w:tc>
        <w:tc>
          <w:tcPr>
            <w:tcW w:w="2280" w:type="dxa"/>
            <w:tcBorders/>
          </w:tcPr>
          <w:p>
            <w:pPr>
              <w:pStyle w:val="Normal"/>
              <w:spacing w:before="300" w:after="0"/>
              <w:ind w:start="180" w:end="210"/>
              <w:jc w:val="center"/>
              <w:rPr/>
            </w:pPr>
            <w:r>
              <w:rPr/>
              <w:t>Robust Wholesale Market</w:t>
              <w:br/>
              <w:t>Futures Contract (NYMEX)</w:t>
              <w:br/>
              <w:t>Active Bilateral Market</w:t>
            </w:r>
          </w:p>
        </w:tc>
        <w:tc>
          <w:tcPr>
            <w:tcW w:w="2280" w:type="dxa"/>
            <w:tcBorders/>
          </w:tcPr>
          <w:p>
            <w:pPr>
              <w:pStyle w:val="Normal"/>
              <w:spacing w:before="300" w:after="0"/>
              <w:ind w:start="180" w:end="210"/>
              <w:jc w:val="center"/>
              <w:rPr/>
            </w:pPr>
            <w:r>
              <w:rPr/>
              <w:t>Robust Wholesale Market</w:t>
              <w:br/>
              <w:t>Futures Contract (CBOT)</w:t>
              <w:br/>
              <w:t>Active Bilateral Market</w:t>
            </w:r>
          </w:p>
        </w:tc>
      </w:tr>
      <w:tr>
        <w:trPr/>
        <w:tc>
          <w:tcPr>
            <w:tcW w:w="3060" w:type="dxa"/>
            <w:tcBorders/>
          </w:tcPr>
          <w:p>
            <w:pPr>
              <w:pStyle w:val="Normal"/>
              <w:spacing w:before="300" w:after="0"/>
              <w:rPr>
                <w:b/>
              </w:rPr>
            </w:pPr>
            <w:r>
              <w:rPr>
                <w:b/>
              </w:rPr>
              <w:t>Annual Load Growth</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1.6%</w:t>
            </w:r>
          </w:p>
        </w:tc>
        <w:tc>
          <w:tcPr>
            <w:tcW w:w="2280" w:type="dxa"/>
            <w:tcBorders/>
          </w:tcPr>
          <w:p>
            <w:pPr>
              <w:pStyle w:val="Normal"/>
              <w:spacing w:before="300" w:after="0"/>
              <w:ind w:start="180" w:end="210"/>
              <w:jc w:val="center"/>
              <w:rPr/>
            </w:pPr>
            <w:r>
              <w:rPr/>
              <w:t>2.4%</w:t>
            </w:r>
          </w:p>
        </w:tc>
      </w:tr>
      <w:tr>
        <w:trPr/>
        <w:tc>
          <w:tcPr>
            <w:tcW w:w="3060" w:type="dxa"/>
            <w:tcBorders/>
          </w:tcPr>
          <w:p>
            <w:pPr>
              <w:pStyle w:val="Normal"/>
              <w:spacing w:before="300" w:after="0"/>
              <w:rPr>
                <w:b/>
              </w:rPr>
            </w:pPr>
            <w:r>
              <w:rPr>
                <w:b/>
              </w:rPr>
              <w:t>Planning Reserve Margin</w:t>
            </w:r>
          </w:p>
        </w:tc>
        <w:tc>
          <w:tcPr>
            <w:tcW w:w="2280" w:type="dxa"/>
            <w:tcBorders/>
          </w:tcPr>
          <w:p>
            <w:pPr>
              <w:pStyle w:val="Normal"/>
              <w:spacing w:before="300" w:after="0"/>
              <w:ind w:start="180" w:end="210"/>
              <w:jc w:val="center"/>
              <w:rPr/>
            </w:pPr>
            <w:r>
              <w:rPr/>
              <w:t>17%</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12%</w:t>
            </w:r>
          </w:p>
        </w:tc>
      </w:tr>
      <w:tr>
        <w:trPr/>
        <w:tc>
          <w:tcPr>
            <w:tcW w:w="3060" w:type="dxa"/>
            <w:tcBorders/>
          </w:tcPr>
          <w:p>
            <w:pPr>
              <w:pStyle w:val="Normal"/>
              <w:spacing w:before="300" w:after="0"/>
              <w:rPr>
                <w:b/>
              </w:rPr>
            </w:pPr>
            <w:r>
              <w:rPr>
                <w:b/>
              </w:rPr>
              <w:t>Average Age of Generation</w:t>
            </w:r>
            <w:r>
              <w:rPr>
                <w:b/>
                <w:vertAlign w:val="superscript"/>
              </w:rPr>
              <w:t>1</w:t>
            </w:r>
          </w:p>
        </w:tc>
        <w:tc>
          <w:tcPr>
            <w:tcW w:w="2280" w:type="dxa"/>
            <w:tcBorders/>
          </w:tcPr>
          <w:p>
            <w:pPr>
              <w:pStyle w:val="Normal"/>
              <w:spacing w:before="300" w:after="0"/>
              <w:ind w:start="180" w:end="210"/>
              <w:jc w:val="center"/>
              <w:rPr/>
            </w:pPr>
            <w:r>
              <w:rPr/>
              <w:t xml:space="preserve">+28 years </w:t>
            </w:r>
            <w:r>
              <w:rPr>
                <w:rStyle w:val="CommentReference"/>
                <w:vanish w:val="false"/>
              </w:rPr>
              <w:commentReference w:id="0"/>
            </w:r>
          </w:p>
        </w:tc>
        <w:tc>
          <w:tcPr>
            <w:tcW w:w="2280" w:type="dxa"/>
            <w:tcBorders/>
          </w:tcPr>
          <w:p>
            <w:pPr>
              <w:pStyle w:val="Normal"/>
              <w:spacing w:before="300" w:after="0"/>
              <w:ind w:start="180" w:end="210"/>
              <w:jc w:val="center"/>
              <w:rPr/>
            </w:pPr>
            <w:r>
              <w:rPr/>
              <w:t>+26 years</w:t>
            </w:r>
          </w:p>
        </w:tc>
        <w:tc>
          <w:tcPr>
            <w:tcW w:w="2280" w:type="dxa"/>
            <w:tcBorders/>
          </w:tcPr>
          <w:p>
            <w:pPr>
              <w:pStyle w:val="Normal"/>
              <w:spacing w:before="300" w:after="0"/>
              <w:ind w:start="180" w:end="210"/>
              <w:jc w:val="center"/>
              <w:rPr/>
            </w:pPr>
            <w:r>
              <w:rPr/>
              <w:t>+40 years</w:t>
            </w:r>
          </w:p>
        </w:tc>
      </w:tr>
      <w:tr>
        <w:trPr/>
        <w:tc>
          <w:tcPr>
            <w:tcW w:w="3060" w:type="dxa"/>
            <w:tcBorders/>
          </w:tcPr>
          <w:p>
            <w:pPr>
              <w:pStyle w:val="Normal"/>
              <w:spacing w:before="300" w:after="0"/>
              <w:rPr>
                <w:b/>
              </w:rPr>
            </w:pPr>
            <w:r>
              <w:rPr>
                <w:b/>
              </w:rPr>
              <w:t>Nuclear Generation</w:t>
            </w:r>
          </w:p>
        </w:tc>
        <w:tc>
          <w:tcPr>
            <w:tcW w:w="2280" w:type="dxa"/>
            <w:tcBorders/>
          </w:tcPr>
          <w:p>
            <w:pPr>
              <w:pStyle w:val="Normal"/>
              <w:spacing w:before="300" w:after="0"/>
              <w:ind w:start="180" w:end="210"/>
              <w:jc w:val="center"/>
              <w:rPr/>
            </w:pPr>
            <w:r>
              <w:rPr/>
              <w:t>Historically, largest nuclear fleet in U.S., older fleet to be retired, younger assets  maintained/sold</w:t>
            </w:r>
          </w:p>
        </w:tc>
        <w:tc>
          <w:tcPr>
            <w:tcW w:w="2280" w:type="dxa"/>
            <w:tcBorders/>
          </w:tcPr>
          <w:p>
            <w:pPr>
              <w:pStyle w:val="Normal"/>
              <w:spacing w:before="300" w:after="0"/>
              <w:ind w:start="180" w:end="210"/>
              <w:jc w:val="center"/>
              <w:rPr/>
            </w:pPr>
            <w:r>
              <w:rPr/>
              <w:t>Minimal nuclear exposure</w:t>
            </w:r>
          </w:p>
        </w:tc>
        <w:tc>
          <w:tcPr>
            <w:tcW w:w="2280" w:type="dxa"/>
            <w:tcBorders/>
          </w:tcPr>
          <w:p>
            <w:pPr>
              <w:pStyle w:val="Normal"/>
              <w:spacing w:before="300" w:after="0"/>
              <w:ind w:start="180" w:end="210"/>
              <w:jc w:val="center"/>
              <w:rPr/>
            </w:pPr>
            <w:r>
              <w:rPr/>
              <w:t>Existing assets to be maintained and dispatched through life of nuclear license</w:t>
            </w:r>
          </w:p>
        </w:tc>
      </w:tr>
      <w:tr>
        <w:trPr/>
        <w:tc>
          <w:tcPr>
            <w:tcW w:w="3060" w:type="dxa"/>
            <w:tcBorders>
              <w:bottom w:val="single" w:sz="4" w:space="0" w:color="000000"/>
            </w:tcBorders>
          </w:tcPr>
          <w:p>
            <w:pPr>
              <w:pStyle w:val="Normal"/>
              <w:spacing w:before="300" w:after="216"/>
              <w:rPr>
                <w:b/>
              </w:rPr>
            </w:pPr>
            <w:r>
              <w:rPr>
                <w:b/>
              </w:rPr>
              <w:t>Environmental Compliance</w:t>
            </w:r>
          </w:p>
        </w:tc>
        <w:tc>
          <w:tcPr>
            <w:tcW w:w="2280" w:type="dxa"/>
            <w:tcBorders>
              <w:bottom w:val="single" w:sz="4" w:space="0" w:color="000000"/>
            </w:tcBorders>
          </w:tcPr>
          <w:p>
            <w:pPr>
              <w:pStyle w:val="Normal"/>
              <w:spacing w:before="300" w:after="216"/>
              <w:ind w:start="180" w:end="210"/>
              <w:jc w:val="center"/>
              <w:rPr/>
            </w:pPr>
            <w:r>
              <w:rPr/>
              <w:t>Significant NOX reductions may be needed</w:t>
            </w:r>
          </w:p>
        </w:tc>
        <w:tc>
          <w:tcPr>
            <w:tcW w:w="2280" w:type="dxa"/>
            <w:tcBorders>
              <w:bottom w:val="single" w:sz="4" w:space="0" w:color="000000"/>
            </w:tcBorders>
          </w:tcPr>
          <w:p>
            <w:pPr>
              <w:pStyle w:val="Normal"/>
              <w:spacing w:before="300" w:after="216"/>
              <w:ind w:start="180" w:end="210"/>
              <w:jc w:val="center"/>
              <w:rPr/>
            </w:pPr>
            <w:r>
              <w:rPr/>
              <w:t>Heavy reliance on coal may result in significant exposure to NOx regulations</w:t>
            </w:r>
          </w:p>
        </w:tc>
        <w:tc>
          <w:tcPr>
            <w:tcW w:w="2280" w:type="dxa"/>
            <w:tcBorders>
              <w:bottom w:val="single" w:sz="4" w:space="0" w:color="000000"/>
            </w:tcBorders>
          </w:tcPr>
          <w:p>
            <w:pPr>
              <w:pStyle w:val="Normal"/>
              <w:spacing w:before="300" w:after="216"/>
              <w:ind w:start="180" w:end="210"/>
              <w:jc w:val="center"/>
              <w:rPr/>
            </w:pPr>
            <w:r>
              <w:rPr/>
              <w:t>TVA spending &gt; $2.5BN on controlling emissions at 11 coal-fired plants</w:t>
            </w:r>
          </w:p>
        </w:tc>
      </w:tr>
    </w:tbl>
    <w:p>
      <w:pPr>
        <w:pStyle w:val="Normal"/>
        <w:numPr>
          <w:ilvl w:val="0"/>
          <w:numId w:val="5"/>
        </w:numPr>
        <w:rPr>
          <w:sz w:val="16"/>
        </w:rPr>
      </w:pPr>
      <w:r>
        <w:rPr>
          <w:sz w:val="16"/>
        </w:rPr>
        <w:t>Average age for fossil-fuel fired generation units  only.</w:t>
      </w:r>
    </w:p>
    <w:p>
      <w:pPr>
        <w:pStyle w:val="Heading1"/>
        <w:ind w:hanging="0" w:start="0"/>
        <w:rPr>
          <w:b w:val="false"/>
          <w:sz w:val="16"/>
        </w:rPr>
      </w:pPr>
      <w:r>
        <w:rPr>
          <w:b w:val="false"/>
          <w:sz w:val="16"/>
        </w:rPr>
      </w:r>
    </w:p>
    <w:p>
      <w:pPr>
        <w:pStyle w:val="Heading1"/>
        <w:ind w:hanging="0" w:start="0"/>
        <w:rPr>
          <w:b w:val="false"/>
        </w:rPr>
      </w:pPr>
      <w:r>
        <w:rPr>
          <w:b w:val="false"/>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ind w:hanging="0" w:start="0"/>
        <w:rPr>
          <w:sz w:val="24"/>
        </w:rPr>
      </w:pPr>
      <w:r>
        <w:rPr>
          <w:sz w:val="24"/>
        </w:rPr>
        <w:t>II.</w:t>
        <w:tab/>
        <w:t>INTER REGIONAL TRANSMISSION ACCESS</w:t>
      </w:r>
    </w:p>
    <w:p>
      <w:pPr>
        <w:pStyle w:val="A0"/>
        <w:rPr>
          <w:rFonts w:ascii="Times New Roman" w:hAnsi="Times New Roman" w:cs="Times New Roman"/>
        </w:rPr>
      </w:pPr>
      <w:r>
        <w:rPr>
          <w:rFonts w:cs="Times New Roman" w:ascii="Times New Roman" w:hAnsi="Times New Roman"/>
        </w:rPr>
        <w:t>MAIN, ECAR and TVA are neighboring systems within the Eastern Interconnect.  The map below summarizes the total transfer capability within the Eastern Interconnect.</w:t>
      </w:r>
    </w:p>
    <w:p>
      <w:pPr>
        <w:pStyle w:val="Ttl0"/>
        <w:numPr>
          <w:ilvl w:val="0"/>
          <w:numId w:val="0"/>
        </w:numPr>
        <w:spacing w:before="720" w:after="240"/>
        <w:jc w:val="center"/>
        <w:outlineLvl w:val="0"/>
        <w:rPr/>
      </w:pPr>
      <w:r>
        <w:drawing>
          <wp:anchor behindDoc="0" distT="0" distB="0" distL="114935" distR="114935" simplePos="0" locked="0" layoutInCell="0" allowOverlap="1" relativeHeight="38">
            <wp:simplePos x="0" y="0"/>
            <wp:positionH relativeFrom="column">
              <wp:posOffset>822960</wp:posOffset>
            </wp:positionH>
            <wp:positionV relativeFrom="paragraph">
              <wp:posOffset>929640</wp:posOffset>
            </wp:positionV>
            <wp:extent cx="5173980" cy="3745865"/>
            <wp:effectExtent l="0" t="0" r="0" b="0"/>
            <wp:wrapTopAndBottom/>
            <wp:docPr id="20"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title=""/>
                    <pic:cNvPicPr>
                      <a:picLocks noChangeAspect="1" noChangeArrowheads="1"/>
                    </pic:cNvPicPr>
                  </pic:nvPicPr>
                  <pic:blipFill>
                    <a:blip r:embed="rId10"/>
                    <a:srcRect l="-7" t="-10" r="-7" b="-10"/>
                    <a:stretch>
                      <a:fillRect/>
                    </a:stretch>
                  </pic:blipFill>
                  <pic:spPr bwMode="auto">
                    <a:xfrm>
                      <a:off x="0" y="0"/>
                      <a:ext cx="5173980" cy="3745865"/>
                    </a:xfrm>
                    <a:prstGeom prst="rect">
                      <a:avLst/>
                    </a:prstGeom>
                    <a:noFill/>
                  </pic:spPr>
                </pic:pic>
              </a:graphicData>
            </a:graphic>
          </wp:anchor>
        </w:drawing>
      </w:r>
      <w:r>
        <w:rPr>
          <w:rFonts w:cs="Times New Roman" w:ascii="Times New Roman" w:hAnsi="Times New Roman"/>
          <w:i/>
        </w:rPr>
        <w:t xml:space="preserve">Eastern Interconnect Total Transfer Capability </w:t>
      </w:r>
      <w:r>
        <w:rPr/>
        <w:t>(GW)</w:t>
      </w:r>
    </w:p>
    <w:tbl>
      <w:tblPr>
        <w:tblW w:w="9990" w:type="dxa"/>
        <w:jc w:val="center"/>
        <w:tblInd w:w="0" w:type="dxa"/>
        <w:tblLayout w:type="fixed"/>
        <w:tblCellMar>
          <w:top w:w="0" w:type="dxa"/>
          <w:start w:w="108" w:type="dxa"/>
          <w:bottom w:w="0" w:type="dxa"/>
          <w:end w:w="108" w:type="dxa"/>
        </w:tblCellMar>
      </w:tblPr>
      <w:tblGrid>
        <w:gridCol w:w="9990"/>
      </w:tblGrid>
      <w:tr>
        <w:trPr/>
        <w:tc>
          <w:tcPr>
            <w:tcW w:w="9990" w:type="dxa"/>
            <w:tcBorders/>
          </w:tcPr>
          <w:p>
            <w:pPr>
              <w:pStyle w:val="Normal"/>
              <w:snapToGrid w:val="false"/>
              <w:ind w:start="-108" w:end="0"/>
              <w:jc w:val="center"/>
              <w:rPr>
                <w:b/>
                <w:sz w:val="36"/>
              </w:rPr>
            </w:pPr>
            <w:r>
              <w:rPr>
                <w:b/>
                <w:sz w:val="36"/>
              </w:rPr>
            </w:r>
          </w:p>
        </w:tc>
      </w:tr>
      <w:tr>
        <w:trPr/>
        <w:tc>
          <w:tcPr>
            <w:tcW w:w="9990" w:type="dxa"/>
            <w:tcBorders/>
          </w:tcPr>
          <w:p>
            <w:pPr>
              <w:pStyle w:val="Normal"/>
              <w:ind w:start="-108" w:end="0"/>
              <w:rPr/>
            </w:pPr>
            <w:r>
              <w:rPr>
                <w:i/>
              </w:rPr>
              <w:t xml:space="preserve">                                 </w:t>
            </w:r>
            <w:r>
              <w:rPr>
                <w:i/>
              </w:rPr>
              <w:t>Source:</w:t>
            </w:r>
            <w:r>
              <w:rPr/>
              <w:t xml:space="preserve">  NERC Summer Transmission Assessment and FERC Form 715; 1996-1998</w:t>
            </w:r>
            <w:r>
              <w:rPr>
                <w:rStyle w:val="CommentReference"/>
                <w:vanish w:val="false"/>
              </w:rPr>
              <w:commentReference w:id="1"/>
            </w:r>
          </w:p>
        </w:tc>
      </w:tr>
      <w:tr>
        <w:trPr/>
        <w:tc>
          <w:tcPr>
            <w:tcW w:w="9990" w:type="dxa"/>
            <w:tcBorders/>
          </w:tcPr>
          <w:p>
            <w:pPr>
              <w:pStyle w:val="Normal"/>
              <w:snapToGrid w:val="false"/>
              <w:ind w:start="-108" w:end="0"/>
              <w:rPr>
                <w:i/>
                <w:i/>
              </w:rPr>
            </w:pPr>
            <w:r>
              <w:rPr>
                <w:i/>
              </w:rPr>
            </w:r>
          </w:p>
        </w:tc>
      </w:tr>
    </w:tbl>
    <w:p>
      <w:pPr>
        <w:pStyle w:val="SecRN0"/>
        <w:spacing w:before="0" w:after="120"/>
        <w:rPr>
          <w:rFonts w:ascii="Times New Roman" w:hAnsi="Times New Roman" w:cs="Times New Roman"/>
        </w:rPr>
      </w:pPr>
      <w:r>
        <w:br w:type="page"/>
      </w:r>
      <w:r>
        <w:rPr>
          <w:rFonts w:cs="Times New Roman" w:ascii="Times New Roman" w:hAnsi="Times New Roman"/>
        </w:rPr>
        <w:t>III.</w:t>
        <w:tab/>
        <w:t>MID-AMERICA INTERCONNECTED NETWORK (“MAIN”)</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 xml:space="preserve">MAIN Regional Overview </w:t>
      </w:r>
    </w:p>
    <w:p>
      <w:pPr>
        <w:pStyle w:val="A0b"/>
        <w:numPr>
          <w:ilvl w:val="0"/>
          <w:numId w:val="6"/>
        </w:numPr>
        <w:spacing w:before="100" w:after="360"/>
        <w:ind w:hanging="0" w:start="0"/>
        <w:rPr>
          <w:rFonts w:ascii="Times New Roman" w:hAnsi="Times New Roman" w:cs="Times New Roman"/>
        </w:rPr>
      </w:pPr>
      <w:r>
        <w:rPr>
          <w:rFonts w:cs="Times New Roman" w:ascii="Times New Roman" w:hAnsi="Times New Roman"/>
        </w:rPr>
        <w:t>MAIN includes utility systems covering all of Illinois, the upper peninsula of Michigan, eastern Wisconsin and much of eastern Missouri, including St. Louis.  The MAIN region contains three planning sub-units: (1) Commonwealth Edison (“ComEd”), formerly operated as a single utility entity, however now with asset owners including Edison Mission Energy, Southern Company, and Dominion Resources; (2) Wisconsin Upper Michigan System (“WUMS”), which includes most of the large utilities in eastern Wisconsin and the upper peninsula of Michigan; and (3) Illinois-Missouri Pool (“ILMO”), including its largest member, Ameren.</w:t>
      </w:r>
    </w:p>
    <w:p>
      <w:pPr>
        <w:pStyle w:val="Hidden"/>
        <w:ind w:firstLine="2160" w:end="0"/>
        <w:rPr>
          <w:rFonts w:ascii="Times New Roman" w:hAnsi="Times New Roman" w:cs="Times New Roman"/>
          <w:b w:val="false"/>
          <w:vanish w:val="false"/>
          <w:sz w:val="20"/>
        </w:rPr>
      </w:pPr>
      <w:bookmarkStart w:id="0" w:name="_1020160871"/>
      <w:bookmarkStart w:id="1" w:name="_1020158927"/>
      <w:bookmarkStart w:id="2" w:name="_1020100331"/>
      <w:bookmarkEnd w:id="0"/>
      <w:bookmarkEnd w:id="1"/>
      <w:bookmarkEnd w:id="2"/>
      <w:r>
        <w:rPr>
          <w:rFonts w:cs="Times New Roman" w:ascii="Times New Roman" w:hAnsi="Times New Roman"/>
          <w:b w:val="false"/>
          <w:vanish w:val="false"/>
          <w:sz w:val="20"/>
        </w:rPr>
        <w:object w:dxaOrig="7481" w:dyaOrig="4641">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381.9pt;height:218.1pt" filled="f" o:ole="">
            <v:imagedata r:id="rId12" o:title=""/>
          </v:shape>
          <o:OLEObject Type="Embed" ProgID="" ShapeID="ole_rId11" DrawAspect="Content" ObjectID="_2086578714" r:id="rId11"/>
        </w:object>
      </w:r>
    </w:p>
    <w:p>
      <w:pPr>
        <w:pStyle w:val="Hidden"/>
        <w:rPr>
          <w:rFonts w:ascii="Times New Roman" w:hAnsi="Times New Roman" w:cs="Times New Roman"/>
          <w:b w:val="false"/>
          <w:vanish w:val="false"/>
          <w:sz w:val="20"/>
        </w:rPr>
      </w:pPr>
      <w:r>
        <w:rPr>
          <w:rFonts w:cs="Times New Roman" w:ascii="Times New Roman" w:hAnsi="Times New Roman"/>
          <w:b w:val="false"/>
          <w:vanish w:val="false"/>
          <w:sz w:val="20"/>
        </w:rPr>
      </w:r>
    </w:p>
    <w:p>
      <w:pPr>
        <w:pStyle w:val="Hidden"/>
        <w:rPr>
          <w:rFonts w:ascii="Times New Roman" w:hAnsi="Times New Roman" w:cs="Times New Roman"/>
          <w:b w:val="false"/>
          <w:sz w:val="20"/>
        </w:rPr>
      </w:pPr>
      <w:r>
        <w:rPr>
          <w:rFonts w:cs="Times New Roman" w:ascii="Times New Roman" w:hAnsi="Times New Roman"/>
          <w:b w:val="false"/>
          <w:sz w:val="20"/>
        </w:rPr>
        <w:t>K:\adobe\tif_april\enron\....tif,gif,jpg</w:t>
      </w:r>
    </w:p>
    <w:p>
      <w:pPr>
        <w:pStyle w:val="A0b"/>
        <w:numPr>
          <w:ilvl w:val="0"/>
          <w:numId w:val="6"/>
        </w:numPr>
        <w:spacing w:before="100" w:after="0"/>
        <w:ind w:hanging="0" w:start="0"/>
        <w:rPr>
          <w:rFonts w:ascii="Times New Roman" w:hAnsi="Times New Roman" w:cs="Times New Roman"/>
        </w:rPr>
      </w:pPr>
      <w:r>
        <w:rPr>
          <w:rFonts w:cs="Times New Roman" w:ascii="Times New Roman" w:hAnsi="Times New Roman"/>
        </w:rPr>
        <w:t>Relative to other U.S. regions, deregulation is moderately advanced in MAIN.  Illinois passed a comprehensive deregulation bill that provides for open access beginning in 1999. Asset divestitures have begun in MAIN.  Commonwealth Edison, the largest utility within MAIN, has recently sold off its remaining coal and oil/gas steam units to Edison Mission Energy after having sold its Kincaid and State Line coal units to Dominion Resources and Southern Company respectively.</w:t>
      </w:r>
    </w:p>
    <w:p>
      <w:pPr>
        <w:pStyle w:val="A0b"/>
        <w:numPr>
          <w:ilvl w:val="0"/>
          <w:numId w:val="6"/>
        </w:numPr>
        <w:spacing w:before="100" w:after="0"/>
        <w:ind w:hanging="0" w:start="0"/>
        <w:rPr>
          <w:rFonts w:ascii="Times New Roman" w:hAnsi="Times New Roman" w:cs="Times New Roman"/>
        </w:rPr>
      </w:pPr>
      <w:r>
        <w:rPr>
          <w:rFonts w:cs="Times New Roman" w:ascii="Times New Roman" w:hAnsi="Times New Roman"/>
        </w:rPr>
        <w:t>Wisconsin and Missouri are still considering legislation to deregulate the power industry. Retail access in Missouri is expected to begin by 2002.</w:t>
      </w:r>
    </w:p>
    <w:p>
      <w:pPr>
        <w:pStyle w:val="A0b"/>
        <w:numPr>
          <w:ilvl w:val="0"/>
          <w:numId w:val="6"/>
        </w:numPr>
        <w:spacing w:before="100" w:after="0"/>
        <w:ind w:hanging="0" w:start="0"/>
        <w:rPr>
          <w:rFonts w:ascii="Times New Roman" w:hAnsi="Times New Roman" w:cs="Times New Roman"/>
        </w:rPr>
      </w:pPr>
      <w:r>
        <w:rPr>
          <w:rFonts w:cs="Times New Roman" w:ascii="Times New Roman" w:hAnsi="Times New Roman"/>
        </w:rPr>
        <w:t>No new legislation was passed in 1999.  However, the markets continue to move towards unregulated activity.  For example, the merger of Dynegy and Illinova was complete as of February 2000 and Commonwealth Edison is in the process of merging with PECO.</w:t>
      </w:r>
    </w:p>
    <w:p>
      <w:pPr>
        <w:pStyle w:val="Sub0"/>
        <w:keepLines/>
        <w:numPr>
          <w:ilvl w:val="0"/>
          <w:numId w:val="0"/>
        </w:numPr>
        <w:spacing w:before="240" w:after="0"/>
        <w:ind w:hanging="0" w:start="1440"/>
        <w:outlineLvl w:val="0"/>
        <w:rPr/>
      </w:pPr>
      <w:r>
        <w:rPr/>
        <w:t>MAIN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rFonts w:ascii="Times New Roman" w:hAnsi="Times New Roman" w:cs="Times New Roman"/>
                <w:vertAlign w:val="superscript"/>
              </w:rPr>
            </w:pPr>
            <w:r>
              <w:rPr>
                <w:rFonts w:cs="Times New Roman" w:ascii="Times New Roman" w:hAnsi="Times New Roman"/>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57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5" w:leader="none"/>
              </w:tabs>
              <w:spacing w:before="36" w:after="36"/>
              <w:ind w:start="45" w:end="0"/>
              <w:rPr/>
            </w:pPr>
            <w:r>
              <w:rPr/>
              <w:t>46 GW</w:t>
            </w:r>
          </w:p>
        </w:tc>
      </w:tr>
      <w:tr>
        <w:trPr/>
        <w:tc>
          <w:tcPr>
            <w:tcW w:w="3825" w:type="dxa"/>
            <w:tcBorders/>
          </w:tcPr>
          <w:p>
            <w:pPr>
              <w:pStyle w:val="Normal"/>
              <w:keepNext w:val="true"/>
              <w:keepLines/>
              <w:spacing w:before="36" w:after="36"/>
              <w:rPr/>
            </w:pPr>
            <w:r>
              <w:rPr/>
              <w:t>Capacity Within One Wheel</w:t>
            </w:r>
          </w:p>
        </w:tc>
        <w:tc>
          <w:tcPr>
            <w:tcW w:w="2475" w:type="dxa"/>
            <w:tcBorders/>
          </w:tcPr>
          <w:p>
            <w:pPr>
              <w:pStyle w:val="Normal"/>
              <w:keepNext w:val="true"/>
              <w:keepLines/>
              <w:tabs>
                <w:tab w:val="clear" w:pos="720"/>
                <w:tab w:val="decimal" w:pos="1125" w:leader="none"/>
              </w:tabs>
              <w:spacing w:before="36" w:after="36"/>
              <w:ind w:start="45" w:end="0"/>
              <w:rPr/>
            </w:pPr>
            <w:r>
              <w:rPr/>
              <w:t>340 GW</w:t>
            </w:r>
          </w:p>
        </w:tc>
      </w:tr>
      <w:tr>
        <w:trPr/>
        <w:tc>
          <w:tcPr>
            <w:tcW w:w="3825" w:type="dxa"/>
            <w:tcBorders/>
          </w:tcPr>
          <w:p>
            <w:pPr>
              <w:pStyle w:val="Normal"/>
              <w:keepNext w:val="true"/>
              <w:keepLines/>
              <w:spacing w:before="36" w:after="36"/>
              <w:rPr/>
            </w:pPr>
            <w:r>
              <w:rPr/>
              <w:t>Import Capability</w:t>
            </w:r>
          </w:p>
        </w:tc>
        <w:tc>
          <w:tcPr>
            <w:tcW w:w="2475" w:type="dxa"/>
            <w:tcBorders/>
          </w:tcPr>
          <w:p>
            <w:pPr>
              <w:pStyle w:val="Normal"/>
              <w:keepNext w:val="true"/>
              <w:keepLines/>
              <w:tabs>
                <w:tab w:val="clear" w:pos="720"/>
                <w:tab w:val="decimal" w:pos="1125" w:leader="none"/>
              </w:tabs>
              <w:spacing w:before="36" w:after="36"/>
              <w:ind w:start="45" w:end="0"/>
              <w:rPr/>
            </w:pPr>
            <w:r>
              <w:rPr/>
              <w:t>8 GW</w:t>
            </w:r>
          </w:p>
        </w:tc>
      </w:tr>
      <w:tr>
        <w:trPr/>
        <w:tc>
          <w:tcPr>
            <w:tcW w:w="3825" w:type="dxa"/>
            <w:tcBorders/>
          </w:tcPr>
          <w:p>
            <w:pPr>
              <w:pStyle w:val="Normal"/>
              <w:keepNext w:val="true"/>
              <w:keepLines/>
              <w:spacing w:before="36" w:after="36"/>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12 GW</w:t>
            </w:r>
          </w:p>
        </w:tc>
      </w:tr>
      <w:tr>
        <w:trPr/>
        <w:tc>
          <w:tcPr>
            <w:tcW w:w="3825" w:type="dxa"/>
            <w:tcBorders/>
          </w:tcPr>
          <w:p>
            <w:pPr>
              <w:pStyle w:val="Normal"/>
              <w:keepNext w:val="true"/>
              <w:keepLines/>
              <w:spacing w:before="36" w:after="36"/>
              <w:rPr/>
            </w:pPr>
            <w:r>
              <w:rPr/>
              <w:t>Net Annual Energy</w:t>
            </w:r>
          </w:p>
        </w:tc>
        <w:tc>
          <w:tcPr>
            <w:tcW w:w="2475" w:type="dxa"/>
            <w:tcBorders/>
          </w:tcPr>
          <w:p>
            <w:pPr>
              <w:pStyle w:val="Normal"/>
              <w:keepNext w:val="true"/>
              <w:keepLines/>
              <w:tabs>
                <w:tab w:val="clear" w:pos="720"/>
                <w:tab w:val="decimal" w:pos="1125" w:leader="none"/>
              </w:tabs>
              <w:spacing w:before="36" w:after="36"/>
              <w:ind w:start="45" w:end="0"/>
              <w:rPr/>
            </w:pPr>
            <w:r>
              <w:rPr/>
              <w:t>235,149 GWh</w:t>
            </w:r>
          </w:p>
        </w:tc>
      </w:tr>
      <w:tr>
        <w:trPr/>
        <w:tc>
          <w:tcPr>
            <w:tcW w:w="3825" w:type="dxa"/>
            <w:tcBorders/>
          </w:tcPr>
          <w:p>
            <w:pPr>
              <w:pStyle w:val="Normal"/>
              <w:keepNext w:val="true"/>
              <w:keepLines/>
              <w:spacing w:before="36" w:after="36"/>
              <w:rPr/>
            </w:pPr>
            <w:r>
              <w:rPr/>
              <w:t>Average Demand</w:t>
            </w:r>
          </w:p>
        </w:tc>
        <w:tc>
          <w:tcPr>
            <w:tcW w:w="2475" w:type="dxa"/>
            <w:tcBorders/>
          </w:tcPr>
          <w:p>
            <w:pPr>
              <w:pStyle w:val="Normal"/>
              <w:keepNext w:val="true"/>
              <w:keepLines/>
              <w:tabs>
                <w:tab w:val="clear" w:pos="720"/>
                <w:tab w:val="decimal" w:pos="1125" w:leader="none"/>
              </w:tabs>
              <w:spacing w:before="36" w:after="36"/>
              <w:ind w:start="45" w:end="0"/>
              <w:rPr/>
            </w:pPr>
            <w:r>
              <w:rPr/>
              <w:t>27 GW</w:t>
            </w:r>
          </w:p>
        </w:tc>
      </w:tr>
      <w:tr>
        <w:trPr/>
        <w:tc>
          <w:tcPr>
            <w:tcW w:w="3825" w:type="dxa"/>
            <w:tcBorders>
              <w:bottom w:val="single" w:sz="6" w:space="0" w:color="000000"/>
            </w:tcBorders>
          </w:tcPr>
          <w:p>
            <w:pPr>
              <w:pStyle w:val="Normal"/>
              <w:keepNext w:val="true"/>
              <w:keepLines/>
              <w:spacing w:before="36" w:after="216"/>
              <w:rPr/>
            </w:pPr>
            <w:r>
              <w:rPr/>
              <w:t>Net Exports</w:t>
            </w:r>
          </w:p>
        </w:tc>
        <w:tc>
          <w:tcPr>
            <w:tcW w:w="2475"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8,671 GWh</w:t>
            </w:r>
          </w:p>
        </w:tc>
      </w:tr>
    </w:tbl>
    <w:p>
      <w:pPr>
        <w:pStyle w:val="Normal"/>
        <w:ind w:start="1440" w:end="0"/>
        <w:rPr/>
      </w:pPr>
      <w:r>
        <w:rPr/>
        <w:t>Source: ICF Base Case Forecasts for the year 2000.</w:t>
      </w:r>
    </w:p>
    <w:p>
      <w:pPr>
        <w:pStyle w:val="Normal"/>
        <w:ind w:start="1440" w:end="0"/>
        <w:rPr/>
      </w:pPr>
      <w:r>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B.</w:t>
        <w:tab/>
        <w:t xml:space="preserve">MAIN Capacity Mix </w:t>
      </w:r>
    </w:p>
    <w:p>
      <w:pPr>
        <w:pStyle w:val="A0"/>
        <w:rPr>
          <w:rFonts w:ascii="Times New Roman" w:hAnsi="Times New Roman" w:cs="Times New Roman"/>
        </w:rPr>
      </w:pPr>
      <w:r>
        <w:rPr>
          <w:rFonts w:cs="Times New Roman" w:ascii="Times New Roman" w:hAnsi="Times New Roman"/>
        </w:rPr>
        <w:t>MAIN is dominated by coal and nuclear generating capacity.  Combined, these units accounted for 81% of total capacity and 96% of generation in MAIN in 1997. Generation totals beyond 1997 are not available from NERC.</w:t>
      </w:r>
    </w:p>
    <w:p>
      <w:pPr>
        <w:pStyle w:val="A0b"/>
        <w:numPr>
          <w:ilvl w:val="0"/>
          <w:numId w:val="6"/>
        </w:numPr>
        <w:ind w:hanging="0" w:start="0"/>
        <w:rPr>
          <w:rFonts w:ascii="Times New Roman" w:hAnsi="Times New Roman" w:cs="Times New Roman"/>
        </w:rPr>
      </w:pPr>
      <w:r>
        <w:rPr>
          <w:rFonts w:cs="Times New Roman" w:ascii="Times New Roman" w:hAnsi="Times New Roman"/>
        </w:rPr>
        <w:t>The large nuclear concentration creates supply uncertainty especially in the near term.  In the summer of 1998, MAIN experienced extreme capacity shortages in part due to a widespread shortfall in nuclear availability.  However, the need for capacity in MAIN extends beyond the reliability of the nuclear units.  Even with the return of nuclear capacity, shortages continued in the summer of 1999:</w:t>
      </w:r>
    </w:p>
    <w:p>
      <w:pPr>
        <w:pStyle w:val="B0n"/>
        <w:numPr>
          <w:ilvl w:val="0"/>
          <w:numId w:val="9"/>
        </w:numPr>
        <w:rPr>
          <w:rFonts w:ascii="Times New Roman" w:hAnsi="Times New Roman" w:cs="Times New Roman"/>
        </w:rPr>
      </w:pPr>
      <w:r>
        <w:rPr>
          <w:rFonts w:cs="Times New Roman" w:ascii="Times New Roman" w:hAnsi="Times New Roman"/>
        </w:rPr>
        <w:t>Commonwealth Edison has one of the largest concentrations of nuclear capacity in the U.S. and experienced significant nuclear availability problems in 1998.  Units 1 and 2 of the 2,000 MW La Salle plant were off-line during the summer.  The Quad Cities plant was down for much of the year and was on the “watch list” of the U.S. Nuclear Regulatory Commission.  In 1997, ComEd announced permanent retirement plans for its 2,080 MW Zion nuclear plant.  The 1999 nuclear situation returned to more normal conditions, with LaSalle and Clinton at full availability.</w:t>
      </w:r>
    </w:p>
    <w:p>
      <w:pPr>
        <w:pStyle w:val="B0n"/>
        <w:numPr>
          <w:ilvl w:val="0"/>
          <w:numId w:val="9"/>
        </w:numPr>
        <w:rPr>
          <w:rFonts w:ascii="Times New Roman" w:hAnsi="Times New Roman" w:cs="Times New Roman"/>
        </w:rPr>
      </w:pPr>
      <w:r>
        <w:rPr>
          <w:rFonts w:cs="Times New Roman" w:ascii="Times New Roman" w:hAnsi="Times New Roman"/>
        </w:rPr>
        <w:t>Illinois Power Company’s Clinton nuclear plant was off-line starting September 6, 1996.  On December 15, 1999, Amergen Energy Company and Illinois Power Company completed a transaction for the sale of the Clinton Power Station to Amergen.  The plant is now back on-line.</w:t>
      </w:r>
    </w:p>
    <w:p>
      <w:pPr>
        <w:pStyle w:val="A0b"/>
        <w:numPr>
          <w:ilvl w:val="0"/>
          <w:numId w:val="6"/>
        </w:numPr>
        <w:ind w:hanging="0" w:start="0"/>
        <w:rPr>
          <w:rFonts w:ascii="Times New Roman" w:hAnsi="Times New Roman" w:cs="Times New Roman"/>
        </w:rPr>
      </w:pPr>
      <w:r>
        <w:rPr>
          <w:rFonts w:cs="Times New Roman" w:ascii="Times New Roman" w:hAnsi="Times New Roman"/>
        </w:rPr>
        <w:t>The Illinois Basin, covering southern Illinois, western Kentucky and Indiana, has historically been a major source of coal.  As a consequence, numerous coal plants were built in MAIN and surrounding areas.  Because this coal is generally of high-sulfur content, low-sulfur Wyoming Powder River Basin coal has penetrated the market and currently accounts for more than half of the coal utilized in Illinois:</w:t>
      </w:r>
    </w:p>
    <w:p>
      <w:pPr>
        <w:pStyle w:val="B0n"/>
        <w:numPr>
          <w:ilvl w:val="0"/>
          <w:numId w:val="0"/>
        </w:numPr>
        <w:ind w:hanging="0" w:start="0"/>
        <w:rPr>
          <w:rFonts w:ascii="Times New Roman" w:hAnsi="Times New Roman" w:cs="Times New Roman"/>
        </w:rPr>
      </w:pPr>
      <w:r>
        <w:rPr>
          <w:rFonts w:cs="Times New Roman" w:ascii="Times New Roman" w:hAnsi="Times New Roman"/>
        </w:rPr>
      </w:r>
      <w:r>
        <w:br w:type="page"/>
      </w:r>
    </w:p>
    <w:p>
      <w:pPr>
        <w:pStyle w:val="Sub0"/>
        <w:numPr>
          <w:ilvl w:val="0"/>
          <w:numId w:val="0"/>
        </w:numPr>
        <w:spacing w:before="0" w:after="120"/>
        <w:ind w:hanging="0" w:start="0" w:end="0"/>
        <w:outlineLvl w:val="0"/>
        <w:rPr/>
      </w:pPr>
      <w:r>
        <w:rPr/>
        <w:t xml:space="preserve">MAIN Capacity and Generation Mix – 2000 </w:t>
      </w:r>
    </w:p>
    <w:tbl>
      <w:tblPr>
        <w:tblW w:w="9347" w:type="dxa"/>
        <w:jc w:val="center"/>
        <w:tblInd w:w="0" w:type="dxa"/>
        <w:tblLayout w:type="fixed"/>
        <w:tblCellMar>
          <w:top w:w="0" w:type="dxa"/>
          <w:start w:w="108" w:type="dxa"/>
          <w:bottom w:w="0" w:type="dxa"/>
          <w:end w:w="108" w:type="dxa"/>
        </w:tblCellMar>
      </w:tblPr>
      <w:tblGrid>
        <w:gridCol w:w="4536"/>
        <w:gridCol w:w="281"/>
        <w:gridCol w:w="4530"/>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536" w:type="dxa"/>
            <w:tcBorders>
              <w:start w:val="single" w:sz="6" w:space="0" w:color="000000"/>
              <w:end w:val="single" w:sz="6" w:space="0" w:color="000000"/>
            </w:tcBorders>
          </w:tcPr>
          <w:p>
            <w:pPr>
              <w:pStyle w:val="Normal"/>
              <w:keepNext w:val="true"/>
              <w:rPr/>
            </w:pPr>
            <w:bookmarkStart w:id="3" w:name="_1020157291"/>
            <w:bookmarkStart w:id="4" w:name="_1020110633"/>
            <w:bookmarkStart w:id="5" w:name="_1020110613"/>
            <w:bookmarkStart w:id="6" w:name="_1020110584"/>
            <w:bookmarkStart w:id="7" w:name="_1020110557"/>
            <w:bookmarkStart w:id="8" w:name="_1020110532"/>
            <w:bookmarkStart w:id="9" w:name="_1020110446"/>
            <w:bookmarkStart w:id="10" w:name="_1020110137"/>
            <w:bookmarkStart w:id="11" w:name="_1020014768"/>
            <w:bookmarkStart w:id="12" w:name="_1020014737"/>
            <w:bookmarkStart w:id="13" w:name="_1020014721"/>
            <w:bookmarkStart w:id="14" w:name="_1020008042"/>
            <w:bookmarkStart w:id="15" w:name="_1020007946"/>
            <w:bookmarkStart w:id="16" w:name="_1020007827"/>
            <w:bookmarkEnd w:id="3"/>
            <w:bookmarkEnd w:id="4"/>
            <w:bookmarkEnd w:id="5"/>
            <w:bookmarkEnd w:id="6"/>
            <w:bookmarkEnd w:id="7"/>
            <w:bookmarkEnd w:id="8"/>
            <w:bookmarkEnd w:id="9"/>
            <w:bookmarkEnd w:id="10"/>
            <w:bookmarkEnd w:id="11"/>
            <w:bookmarkEnd w:id="12"/>
            <w:bookmarkEnd w:id="13"/>
            <w:bookmarkEnd w:id="14"/>
            <w:bookmarkEnd w:id="15"/>
            <w:bookmarkEnd w:id="16"/>
            <w:r>
              <w:rPr>
                <w:sz w:val="28"/>
              </w:rPr>
              <w:object w:dxaOrig="4301" w:dyaOrig="3401">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215.05pt;height:170.05pt" filled="f" o:ole="">
                  <v:imagedata r:id="rId14" o:title=""/>
                </v:shape>
                <o:OLEObject Type="Embed" ProgID="" ShapeID="ole_rId13" DrawAspect="Content" ObjectID="_385551902" r:id="rId13"/>
              </w:object>
            </w:r>
            <w:hyperlink r:id="rId15">
              <w:commentRangeStart w:id="2"/>
              <w:commentRangeEnd w:id="2"/>
              <w:r>
                <w:commentReference w:id="2"/>
              </w:r>
              <w:r>
                <w:rPr>
                  <w:rStyle w:val="Hyperlink"/>
                  <w:vanish/>
                  <w:sz w:val="28"/>
                </w:rPr>
                <w:t>\\snyc14207\ProjFin\yellen\990920095.xls!MAIN Capacity</w:t>
              </w:r>
            </w:hyperlink>
            <w:r>
              <w:rPr>
                <w:vanish/>
                <w:color w:val="FF0000"/>
                <w:sz w:val="28"/>
              </w:rPr>
              <w:t xml:space="preserve"> Height: 2.58” Width: 3.26”</w:t>
            </w:r>
          </w:p>
          <w:p>
            <w:pPr>
              <w:pStyle w:val="Normal"/>
              <w:rPr>
                <w:sz w:val="28"/>
              </w:rPr>
            </w:pPr>
            <w:commentRangeStart w:id="4"/>
            <w:commentRangeEnd w:id="4"/>
            <w:r>
              <w:commentReference w:id="4"/>
            </w:r>
            <w:r>
              <w:rPr>
                <w:rStyle w:val="CommentReference"/>
                <w:vanish w:val="false"/>
                <w:sz w:val="28"/>
              </w:rPr>
              <w:commentReference w:id="3"/>
            </w:r>
          </w:p>
        </w:tc>
        <w:tc>
          <w:tcPr>
            <w:tcW w:w="281" w:type="dxa"/>
            <w:tcBorders/>
          </w:tcPr>
          <w:p>
            <w:pPr>
              <w:pStyle w:val="Hidden"/>
              <w:snapToGrid w:val="false"/>
              <w:jc w:val="center"/>
              <w:rPr>
                <w:rFonts w:ascii="Times New Roman" w:hAnsi="Times New Roman" w:cs="Times New Roman"/>
                <w:vanish w:val="false"/>
                <w:sz w:val="28"/>
              </w:rPr>
            </w:pPr>
            <w:r>
              <w:rPr>
                <w:rFonts w:cs="Times New Roman" w:ascii="Times New Roman" w:hAnsi="Times New Roman"/>
                <w:vanish w:val="false"/>
                <w:sz w:val="28"/>
              </w:rPr>
            </w:r>
          </w:p>
        </w:tc>
        <w:tc>
          <w:tcPr>
            <w:tcW w:w="4530" w:type="dxa"/>
            <w:tcBorders>
              <w:start w:val="single" w:sz="6" w:space="0" w:color="000000"/>
              <w:end w:val="single" w:sz="6" w:space="0" w:color="000000"/>
            </w:tcBorders>
          </w:tcPr>
          <w:p>
            <w:pPr>
              <w:pStyle w:val="Normal"/>
              <w:keepNext w:val="true"/>
              <w:rPr/>
            </w:pPr>
            <w:bookmarkStart w:id="17" w:name="_1020157275"/>
            <w:bookmarkStart w:id="18" w:name="_1020157227"/>
            <w:bookmarkStart w:id="19" w:name="_1020157160"/>
            <w:bookmarkStart w:id="20" w:name="_1020014827"/>
            <w:bookmarkStart w:id="21" w:name="_1020014794"/>
            <w:bookmarkStart w:id="22" w:name="_1020014647"/>
            <w:bookmarkStart w:id="23" w:name="_1020014628"/>
            <w:bookmarkStart w:id="24" w:name="_1020008022"/>
            <w:bookmarkStart w:id="25" w:name="_1020007998"/>
            <w:bookmarkStart w:id="26" w:name="_1020007974"/>
            <w:bookmarkEnd w:id="17"/>
            <w:bookmarkEnd w:id="18"/>
            <w:bookmarkEnd w:id="19"/>
            <w:bookmarkEnd w:id="20"/>
            <w:bookmarkEnd w:id="21"/>
            <w:bookmarkEnd w:id="22"/>
            <w:bookmarkEnd w:id="23"/>
            <w:bookmarkEnd w:id="24"/>
            <w:bookmarkEnd w:id="25"/>
            <w:bookmarkEnd w:id="26"/>
            <w:r>
              <w:rPr>
                <w:sz w:val="16"/>
              </w:rPr>
              <w:object w:dxaOrig="4301" w:dyaOrig="3541">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15.05pt;height:177.05pt" filled="f" o:ole="">
                  <v:imagedata r:id="rId17" o:title=""/>
                </v:shape>
                <o:OLEObject Type="Embed" ProgID="" ShapeID="ole_rId16" DrawAspect="Content" ObjectID="_427834770" r:id="rId16"/>
              </w:object>
            </w:r>
            <w:hyperlink r:id="rId18">
              <w:commentRangeStart w:id="5"/>
              <w:commentRangeEnd w:id="5"/>
              <w:r>
                <w:commentReference w:id="5"/>
              </w:r>
              <w:r>
                <w:rPr>
                  <w:rStyle w:val="Hyperlink"/>
                  <w:vanish/>
                  <w:sz w:val="16"/>
                </w:rPr>
                <w:t>\\snyc14207\ProjFin\yellen\990920095.xls!MAIN Generation</w:t>
              </w:r>
            </w:hyperlink>
            <w:r>
              <w:rPr>
                <w:vanish/>
                <w:color w:val="FF0000"/>
                <w:sz w:val="16"/>
              </w:rPr>
              <w:t xml:space="preserve"> Height: 2.58” Width: 3.26”</w:t>
            </w:r>
          </w:p>
          <w:p>
            <w:pPr>
              <w:pStyle w:val="Normal"/>
              <w:rPr/>
            </w:pPr>
            <w:commentRangeStart w:id="7"/>
            <w:commentRangeEnd w:id="7"/>
            <w:r>
              <w:commentReference w:id="7"/>
            </w:r>
            <w:r>
              <w:rPr>
                <w:rStyle w:val="CommentReference"/>
                <w:vanish w:val="false"/>
              </w:rPr>
              <w:commentReference w:id="6"/>
            </w:r>
          </w:p>
        </w:tc>
      </w:tr>
      <w:tr>
        <w:trPr/>
        <w:tc>
          <w:tcPr>
            <w:tcW w:w="4536"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56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530"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Generation = 244 BkWh</w:t>
            </w:r>
          </w:p>
        </w:tc>
      </w:tr>
    </w:tbl>
    <w:p>
      <w:pPr>
        <w:pStyle w:val="Normal"/>
        <w:ind w:start="360" w:end="0"/>
        <w:rPr>
          <w:i/>
          <w:i/>
          <w:sz w:val="16"/>
        </w:rPr>
      </w:pPr>
      <w:r>
        <w:rPr>
          <w:i/>
          <w:sz w:val="16"/>
        </w:rPr>
      </w:r>
    </w:p>
    <w:p>
      <w:pPr>
        <w:pStyle w:val="Normal"/>
        <w:ind w:start="360" w:end="0"/>
        <w:rPr/>
      </w:pPr>
      <w:r>
        <w:rPr>
          <w:i/>
          <w:sz w:val="16"/>
        </w:rPr>
        <w:t xml:space="preserve">Note:  </w:t>
      </w:r>
      <w:r>
        <w:rPr>
          <w:sz w:val="16"/>
        </w:rPr>
        <w:t>Totals may not add due to rounding.</w:t>
      </w:r>
    </w:p>
    <w:p>
      <w:pPr>
        <w:pStyle w:val="Normal"/>
        <w:ind w:start="360" w:end="0"/>
        <w:rPr/>
      </w:pPr>
      <w:r>
        <w:rPr>
          <w:i/>
          <w:sz w:val="16"/>
        </w:rPr>
        <w:t xml:space="preserve">Source:  </w:t>
      </w:r>
      <w:r>
        <w:rPr>
          <w:sz w:val="16"/>
        </w:rPr>
        <w:t>ICF Base Case Forecasts for the year 2000.</w:t>
      </w:r>
    </w:p>
    <w:p>
      <w:pPr>
        <w:pStyle w:val="Normal"/>
        <w:spacing w:before="20" w:after="0"/>
        <w:ind w:start="360" w:end="0"/>
        <w:rPr>
          <w:sz w:val="16"/>
        </w:rPr>
      </w:pPr>
      <w:r>
        <w:rPr>
          <w:sz w:val="16"/>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C.</w:t>
        <w:tab/>
        <w:t>MAIN Transmission Overview</w:t>
      </w:r>
    </w:p>
    <w:p>
      <w:pPr>
        <w:pStyle w:val="A0"/>
        <w:keepNext w:val="true"/>
        <w:numPr>
          <w:ilvl w:val="0"/>
          <w:numId w:val="0"/>
        </w:numPr>
        <w:ind w:hanging="0" w:start="1440"/>
        <w:outlineLvl w:val="0"/>
        <w:rPr>
          <w:rFonts w:ascii="Times New Roman" w:hAnsi="Times New Roman" w:cs="Times New Roman"/>
          <w:b/>
        </w:rPr>
      </w:pPr>
      <w:r>
        <w:rPr>
          <w:rFonts w:cs="Times New Roman" w:ascii="Times New Roman" w:hAnsi="Times New Roman"/>
          <w:b/>
        </w:rPr>
        <w:t>Inter-Regional Transmission</w:t>
      </w:r>
    </w:p>
    <w:p>
      <w:pPr>
        <w:pStyle w:val="A0b"/>
        <w:numPr>
          <w:ilvl w:val="0"/>
          <w:numId w:val="6"/>
        </w:numPr>
        <w:ind w:hanging="0" w:start="0"/>
        <w:rPr>
          <w:rFonts w:ascii="Times New Roman" w:hAnsi="Times New Roman" w:cs="Times New Roman"/>
        </w:rPr>
      </w:pPr>
      <w:r>
        <w:rPr>
          <w:rFonts w:cs="Times New Roman" w:ascii="Times New Roman" w:hAnsi="Times New Roman"/>
        </w:rPr>
        <w:t>The MAIN Region is highly interconnected with neighboring regions, providing significant opportunities for trading between MAIN and surrounding regions.</w:t>
      </w:r>
    </w:p>
    <w:p>
      <w:pPr>
        <w:pStyle w:val="A0b"/>
        <w:numPr>
          <w:ilvl w:val="0"/>
          <w:numId w:val="6"/>
        </w:numPr>
        <w:ind w:hanging="0" w:start="0"/>
        <w:rPr>
          <w:rFonts w:ascii="Times New Roman" w:hAnsi="Times New Roman" w:cs="Times New Roman"/>
        </w:rPr>
      </w:pPr>
      <w:r>
        <w:rPr>
          <w:rFonts w:cs="Times New Roman" w:ascii="Times New Roman" w:hAnsi="Times New Roman"/>
        </w:rPr>
        <w:t>The primary physical interconnections between MAIN and its neighboring systems consist of:</w:t>
      </w:r>
    </w:p>
    <w:p>
      <w:pPr>
        <w:pStyle w:val="B0bbox"/>
        <w:numPr>
          <w:ilvl w:val="0"/>
          <w:numId w:val="10"/>
        </w:numPr>
        <w:rPr>
          <w:rFonts w:ascii="Times New Roman" w:hAnsi="Times New Roman" w:cs="Times New Roman"/>
        </w:rPr>
      </w:pPr>
      <w:r>
        <w:rPr>
          <w:rFonts w:cs="Times New Roman" w:ascii="Times New Roman" w:hAnsi="Times New Roman"/>
        </w:rPr>
        <w:t>Two 765 kV and four 345 kV connections and several sub-stations connecting the Chicago metropolitan portion of Illinois to the adjacent northwest portion of Indiana in ECAR.</w:t>
      </w:r>
    </w:p>
    <w:p>
      <w:pPr>
        <w:pStyle w:val="B0bbox"/>
        <w:numPr>
          <w:ilvl w:val="0"/>
          <w:numId w:val="10"/>
        </w:numPr>
        <w:rPr>
          <w:rFonts w:ascii="Times New Roman" w:hAnsi="Times New Roman" w:cs="Times New Roman"/>
        </w:rPr>
      </w:pPr>
      <w:r>
        <w:rPr>
          <w:rFonts w:cs="Times New Roman" w:ascii="Times New Roman" w:hAnsi="Times New Roman"/>
        </w:rPr>
        <w:t>Four 345 kV connections into MAPP, only one of which is in the capacity-constrained upper Midwest region.</w:t>
      </w:r>
    </w:p>
    <w:p>
      <w:pPr>
        <w:pStyle w:val="B0bbox"/>
        <w:numPr>
          <w:ilvl w:val="0"/>
          <w:numId w:val="10"/>
        </w:numPr>
        <w:rPr>
          <w:rFonts w:ascii="Times New Roman" w:hAnsi="Times New Roman" w:cs="Times New Roman"/>
        </w:rPr>
      </w:pPr>
      <w:r>
        <w:rPr>
          <w:rFonts w:cs="Times New Roman" w:ascii="Times New Roman" w:hAnsi="Times New Roman"/>
        </w:rPr>
        <w:t>One 500 kV and two 345 kV ties connecting the MAIN portion of Missouri into Kansas and Arkansas in SPP</w:t>
      </w:r>
      <w:r>
        <w:rPr>
          <w:rStyle w:val="CommentReference"/>
          <w:rFonts w:cs="Times New Roman" w:ascii="Times New Roman" w:hAnsi="Times New Roman"/>
          <w:vanish w:val="false"/>
        </w:rPr>
        <w:commentReference w:id="8"/>
      </w:r>
      <w:r>
        <w:rPr>
          <w:rFonts w:cs="Times New Roman" w:ascii="Times New Roman" w:hAnsi="Times New Roman"/>
        </w:rPr>
        <w:t>.</w:t>
      </w:r>
    </w:p>
    <w:p>
      <w:pPr>
        <w:pStyle w:val="A0"/>
        <w:keepNext w:val="true"/>
        <w:numPr>
          <w:ilvl w:val="0"/>
          <w:numId w:val="0"/>
        </w:numPr>
        <w:ind w:hanging="0" w:start="1440"/>
        <w:outlineLvl w:val="0"/>
        <w:rPr>
          <w:rFonts w:ascii="Times New Roman" w:hAnsi="Times New Roman" w:cs="Times New Roman"/>
          <w:b/>
          <w:sz w:val="24"/>
        </w:rPr>
      </w:pPr>
      <w:r>
        <w:rPr>
          <w:rFonts w:cs="Times New Roman" w:ascii="Times New Roman" w:hAnsi="Times New Roman"/>
          <w:b/>
          <w:sz w:val="24"/>
        </w:rPr>
        <w:t>Intra-Regional Transmission</w:t>
      </w:r>
    </w:p>
    <w:p>
      <w:pPr>
        <w:pStyle w:val="A0"/>
        <w:keepNext w:val="true"/>
        <w:rPr>
          <w:rFonts w:ascii="Times New Roman" w:hAnsi="Times New Roman" w:cs="Times New Roman"/>
        </w:rPr>
      </w:pPr>
      <w:r>
        <w:rPr>
          <w:rFonts w:cs="Times New Roman" w:ascii="Times New Roman" w:hAnsi="Times New Roman"/>
        </w:rPr>
        <w:t>The map below shows the major interconnections within MAIN.</w:t>
      </w:r>
    </w:p>
    <w:p>
      <w:pPr>
        <w:pStyle w:val="A0"/>
        <w:keepNext w:val="true"/>
        <w:rPr>
          <w:rFonts w:ascii="Times New Roman" w:hAnsi="Times New Roman" w:cs="Times New Roman"/>
          <w:b/>
          <w:vanish/>
          <w:color w:val="FF0000"/>
          <w:sz w:val="18"/>
        </w:rPr>
      </w:pPr>
      <w:r>
        <w:rPr>
          <w:rFonts w:cs="Times New Roman" w:ascii="Times New Roman" w:hAnsi="Times New Roman"/>
          <w:b/>
          <w:vanish/>
          <w:color w:val="FF0000"/>
          <w:sz w:val="18"/>
        </w:rPr>
        <w:t>K:\Adobe\tif-April\scanmap1.tif</w:t>
      </w:r>
    </w:p>
    <w:p>
      <w:pPr>
        <w:pStyle w:val="Normal"/>
        <w:jc w:val="center"/>
        <w:rPr/>
      </w:pPr>
      <w:r>
        <w:rPr/>
        <w:drawing>
          <wp:inline distT="0" distB="0" distL="0" distR="0">
            <wp:extent cx="3657600" cy="3696335"/>
            <wp:effectExtent l="0" t="0" r="0" b="0"/>
            <wp:docPr id="21" name="scanmap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map1" descr="" title=""/>
                    <pic:cNvPicPr>
                      <a:picLocks noChangeAspect="1" noChangeArrowheads="1"/>
                    </pic:cNvPicPr>
                  </pic:nvPicPr>
                  <pic:blipFill>
                    <a:blip r:embed="rId19"/>
                    <a:srcRect l="-10" t="503" r="-10" b="-10"/>
                    <a:stretch>
                      <a:fillRect/>
                    </a:stretch>
                  </pic:blipFill>
                  <pic:spPr bwMode="auto">
                    <a:xfrm>
                      <a:off x="0" y="0"/>
                      <a:ext cx="3657600" cy="3696335"/>
                    </a:xfrm>
                    <a:prstGeom prst="rect">
                      <a:avLst/>
                    </a:prstGeom>
                    <a:noFill/>
                  </pic:spPr>
                </pic:pic>
              </a:graphicData>
            </a:graphic>
          </wp:inline>
        </w:drawing>
      </w:r>
    </w:p>
    <w:p>
      <w:pPr>
        <w:pStyle w:val="A0"/>
        <w:spacing w:before="0" w:after="0"/>
        <w:rPr>
          <w:rFonts w:ascii="Times New Roman" w:hAnsi="Times New Roman" w:cs="Times New Roman"/>
        </w:rPr>
      </w:pPr>
      <w:r>
        <w:rPr>
          <w:rFonts w:cs="Times New Roman" w:ascii="Times New Roman" w:hAnsi="Times New Roman"/>
        </w:rPr>
        <w:t>Within MAIN, transmission constraints exist going into the WUMS region.</w:t>
      </w:r>
    </w:p>
    <w:p>
      <w:pPr>
        <w:pStyle w:val="A0"/>
        <w:spacing w:before="0" w:after="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 xml:space="preserve">MAIN Historical Prices </w:t>
      </w:r>
    </w:p>
    <w:p>
      <w:pPr>
        <w:pStyle w:val="A0b"/>
        <w:numPr>
          <w:ilvl w:val="0"/>
          <w:numId w:val="6"/>
        </w:numPr>
        <w:ind w:hanging="0" w:start="0"/>
        <w:rPr>
          <w:rFonts w:ascii="Times New Roman" w:hAnsi="Times New Roman" w:cs="Times New Roman"/>
        </w:rPr>
      </w:pPr>
      <w:r>
        <w:rPr>
          <w:rFonts w:cs="Times New Roman" w:ascii="Times New Roman" w:hAnsi="Times New Roman"/>
        </w:rPr>
        <w:t>Energy prices in MAIN have historically been among the lowest in the country due to an abundance of low variable cost resources, namely nuclear and coal.</w:t>
      </w:r>
    </w:p>
    <w:p>
      <w:pPr>
        <w:pStyle w:val="A0b"/>
        <w:numPr>
          <w:ilvl w:val="0"/>
          <w:numId w:val="6"/>
        </w:numPr>
        <w:ind w:hanging="0" w:start="0"/>
        <w:rPr>
          <w:rFonts w:ascii="Times New Roman" w:hAnsi="Times New Roman" w:cs="Times New Roman"/>
        </w:rPr>
      </w:pPr>
      <w:r>
        <w:rPr>
          <w:rFonts w:cs="Times New Roman" w:ascii="Times New Roman" w:hAnsi="Times New Roman"/>
        </w:rPr>
        <w:t>The amount of low variable cost baseload capacity has been sufficient to serve load in MAIN during most hours of the year.</w:t>
      </w:r>
    </w:p>
    <w:p>
      <w:pPr>
        <w:pStyle w:val="B0bbox"/>
        <w:numPr>
          <w:ilvl w:val="0"/>
          <w:numId w:val="10"/>
        </w:numPr>
        <w:rPr>
          <w:rFonts w:ascii="Times New Roman" w:hAnsi="Times New Roman" w:cs="Times New Roman"/>
        </w:rPr>
      </w:pPr>
      <w:r>
        <w:rPr>
          <w:rFonts w:cs="Times New Roman" w:ascii="Times New Roman" w:hAnsi="Times New Roman"/>
        </w:rPr>
        <w:t>As a result, the marginal source of electrical energy has typically been coal fired power plants on-peak and occasionally nuclear plants during very deep off-peak hours.</w:t>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tbl>
      <w:tblPr>
        <w:tblW w:w="6930" w:type="dxa"/>
        <w:jc w:val="start"/>
        <w:tblInd w:w="540" w:type="dxa"/>
        <w:tblLayout w:type="fixed"/>
        <w:tblCellMar>
          <w:top w:w="0" w:type="dxa"/>
          <w:start w:w="0" w:type="dxa"/>
          <w:bottom w:w="0" w:type="dxa"/>
          <w:end w:w="0" w:type="dxa"/>
        </w:tblCellMar>
      </w:tblPr>
      <w:tblGrid>
        <w:gridCol w:w="2520"/>
        <w:gridCol w:w="990"/>
        <w:gridCol w:w="1350"/>
        <w:gridCol w:w="1080"/>
        <w:gridCol w:w="990"/>
      </w:tblGrid>
      <w:tr>
        <w:trPr>
          <w:trHeight w:val="55" w:hRule="atLeast"/>
        </w:trPr>
        <w:tc>
          <w:tcPr>
            <w:tcW w:w="6930" w:type="dxa"/>
            <w:gridSpan w:val="5"/>
            <w:tcBorders>
              <w:top w:val="single" w:sz="18" w:space="0" w:color="000000"/>
            </w:tcBorders>
          </w:tcPr>
          <w:p>
            <w:pPr>
              <w:pStyle w:val="Normal"/>
              <w:spacing w:before="36" w:after="36"/>
              <w:rPr>
                <w:b/>
                <w:sz w:val="24"/>
              </w:rPr>
            </w:pPr>
            <w:r>
              <w:rPr>
                <w:b/>
                <w:sz w:val="24"/>
              </w:rPr>
              <w:t xml:space="preserve">ComEd/MAIN Historical Energy Prices </w:t>
              <w:br/>
            </w:r>
            <w:r>
              <w:rPr>
                <w:b/>
                <w:i/>
                <w:sz w:val="24"/>
              </w:rPr>
              <w:t>(1998$/MWh)</w:t>
            </w:r>
          </w:p>
        </w:tc>
      </w:tr>
      <w:tr>
        <w:trPr/>
        <w:tc>
          <w:tcPr>
            <w:tcW w:w="2520" w:type="dxa"/>
            <w:tcBorders>
              <w:bottom w:val="single" w:sz="6" w:space="0" w:color="000000"/>
            </w:tcBorders>
          </w:tcPr>
          <w:p>
            <w:pPr>
              <w:pStyle w:val="Normal"/>
              <w:snapToGrid w:val="false"/>
              <w:spacing w:before="36" w:after="36"/>
              <w:jc w:val="center"/>
              <w:rPr>
                <w:b/>
                <w:caps/>
                <w:sz w:val="16"/>
              </w:rPr>
            </w:pPr>
            <w:r>
              <w:rPr>
                <w:b/>
                <w:caps/>
                <w:sz w:val="16"/>
              </w:rPr>
            </w:r>
          </w:p>
        </w:tc>
        <w:tc>
          <w:tcPr>
            <w:tcW w:w="990" w:type="dxa"/>
            <w:tcBorders>
              <w:bottom w:val="single" w:sz="6" w:space="0" w:color="000000"/>
            </w:tcBorders>
            <w:vAlign w:val="bottom"/>
          </w:tcPr>
          <w:p>
            <w:pPr>
              <w:pStyle w:val="Normal"/>
              <w:spacing w:before="36" w:after="36"/>
              <w:jc w:val="center"/>
              <w:rPr>
                <w:caps/>
                <w:sz w:val="16"/>
              </w:rPr>
            </w:pPr>
            <w:r>
              <w:rPr>
                <w:caps/>
                <w:sz w:val="16"/>
              </w:rPr>
              <w:t>1996</w:t>
            </w:r>
          </w:p>
        </w:tc>
        <w:tc>
          <w:tcPr>
            <w:tcW w:w="1350" w:type="dxa"/>
            <w:tcBorders>
              <w:bottom w:val="single" w:sz="6" w:space="0" w:color="000000"/>
            </w:tcBorders>
            <w:vAlign w:val="bottom"/>
          </w:tcPr>
          <w:p>
            <w:pPr>
              <w:pStyle w:val="Normal"/>
              <w:spacing w:before="36" w:after="36"/>
              <w:jc w:val="center"/>
              <w:rPr>
                <w:caps/>
                <w:sz w:val="16"/>
              </w:rPr>
            </w:pPr>
            <w:r>
              <w:rPr>
                <w:caps/>
                <w:sz w:val="16"/>
              </w:rPr>
              <w:t>1997</w:t>
            </w:r>
          </w:p>
        </w:tc>
        <w:tc>
          <w:tcPr>
            <w:tcW w:w="1080" w:type="dxa"/>
            <w:tcBorders>
              <w:bottom w:val="single" w:sz="6" w:space="0" w:color="000000"/>
            </w:tcBorders>
            <w:vAlign w:val="bottom"/>
          </w:tcPr>
          <w:p>
            <w:pPr>
              <w:pStyle w:val="Normal"/>
              <w:tabs>
                <w:tab w:val="clear" w:pos="720"/>
                <w:tab w:val="decimal" w:pos="567" w:leader="none"/>
              </w:tabs>
              <w:spacing w:before="36" w:after="36"/>
              <w:rPr>
                <w:sz w:val="16"/>
              </w:rPr>
            </w:pPr>
            <w:r>
              <w:rPr>
                <w:caps/>
                <w:sz w:val="16"/>
              </w:rPr>
              <w:t>1998</w:t>
            </w:r>
          </w:p>
        </w:tc>
        <w:tc>
          <w:tcPr>
            <w:tcW w:w="990" w:type="dxa"/>
            <w:tcBorders>
              <w:bottom w:val="single" w:sz="6" w:space="0" w:color="000000"/>
            </w:tcBorders>
            <w:vAlign w:val="bottom"/>
          </w:tcPr>
          <w:p>
            <w:pPr>
              <w:pStyle w:val="Normal"/>
              <w:spacing w:before="36" w:after="36"/>
              <w:jc w:val="center"/>
              <w:rPr>
                <w:caps/>
                <w:sz w:val="16"/>
              </w:rPr>
            </w:pPr>
            <w:r>
              <w:rPr>
                <w:caps/>
                <w:sz w:val="16"/>
              </w:rPr>
              <w:t>1999</w:t>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 xml:space="preserve">PMW–Into ComEd </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Normal"/>
              <w:tabs>
                <w:tab w:val="clear" w:pos="720"/>
                <w:tab w:val="decimal" w:pos="567" w:leader="none"/>
              </w:tabs>
              <w:snapToGrid w:val="false"/>
              <w:spacing w:before="36" w:after="36"/>
              <w:jc w:val="both"/>
              <w:rPr/>
            </w:pPr>
            <w:r>
              <w:rPr/>
            </w:r>
          </w:p>
        </w:tc>
        <w:tc>
          <w:tcPr>
            <w:tcW w:w="990" w:type="dxa"/>
            <w:tcBorders/>
            <w:vAlign w:val="center"/>
          </w:tcPr>
          <w:p>
            <w:pPr>
              <w:pStyle w:val="Normal"/>
              <w:tabs>
                <w:tab w:val="clear" w:pos="720"/>
                <w:tab w:val="decimal" w:pos="567" w:leader="none"/>
              </w:tabs>
              <w:snapToGrid w:val="false"/>
              <w:spacing w:before="36" w:after="36"/>
              <w:jc w:val="both"/>
              <w:rPr/>
            </w:pPr>
            <w:r>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28.7</w:t>
            </w:r>
          </w:p>
        </w:tc>
        <w:tc>
          <w:tcPr>
            <w:tcW w:w="1080" w:type="dxa"/>
            <w:tcBorders/>
            <w:vAlign w:val="center"/>
          </w:tcPr>
          <w:p>
            <w:pPr>
              <w:pStyle w:val="Normal"/>
              <w:tabs>
                <w:tab w:val="clear" w:pos="720"/>
                <w:tab w:val="decimal" w:pos="567" w:leader="none"/>
              </w:tabs>
              <w:spacing w:before="36" w:after="36"/>
              <w:jc w:val="both"/>
              <w:rPr/>
            </w:pPr>
            <w:r>
              <w:rPr/>
              <w:t>49.8</w:t>
            </w:r>
          </w:p>
        </w:tc>
        <w:tc>
          <w:tcPr>
            <w:tcW w:w="99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57.9</w:t>
            </w:r>
          </w:p>
        </w:tc>
      </w:tr>
      <w:tr>
        <w:trPr>
          <w:trHeight w:val="480" w:hRule="atLeast"/>
        </w:trPr>
        <w:tc>
          <w:tcPr>
            <w:tcW w:w="2520" w:type="dxa"/>
            <w:tcBorders/>
          </w:tcPr>
          <w:p>
            <w:pPr>
              <w:pStyle w:val="Normal"/>
              <w:spacing w:before="36" w:after="36"/>
              <w:ind w:start="360" w:end="0"/>
              <w:rPr/>
            </w:pPr>
            <w:r>
              <w:rPr/>
              <w:t>High</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Normal"/>
              <w:tabs>
                <w:tab w:val="clear" w:pos="720"/>
                <w:tab w:val="decimal" w:pos="567" w:leader="none"/>
              </w:tabs>
              <w:spacing w:before="36" w:after="36"/>
              <w:jc w:val="both"/>
              <w:rPr/>
            </w:pPr>
            <w:r>
              <w:rPr/>
              <w:t>104.3</w:t>
            </w:r>
          </w:p>
        </w:tc>
        <w:tc>
          <w:tcPr>
            <w:tcW w:w="1080" w:type="dxa"/>
            <w:tcBorders/>
            <w:vAlign w:val="center"/>
          </w:tcPr>
          <w:p>
            <w:pPr>
              <w:pStyle w:val="Normal"/>
              <w:tabs>
                <w:tab w:val="clear" w:pos="720"/>
                <w:tab w:val="decimal" w:pos="567" w:leader="none"/>
              </w:tabs>
              <w:spacing w:before="36" w:after="36"/>
              <w:jc w:val="both"/>
              <w:rPr/>
            </w:pPr>
            <w:r>
              <w:rPr/>
              <w:t>690.4</w:t>
            </w:r>
          </w:p>
        </w:tc>
        <w:tc>
          <w:tcPr>
            <w:tcW w:w="990" w:type="dxa"/>
            <w:tcBorders/>
            <w:vAlign w:val="center"/>
          </w:tcPr>
          <w:p>
            <w:pPr>
              <w:pStyle w:val="Normal"/>
              <w:tabs>
                <w:tab w:val="clear" w:pos="720"/>
                <w:tab w:val="decimal" w:pos="567" w:leader="none"/>
              </w:tabs>
              <w:spacing w:before="36" w:after="36"/>
              <w:jc w:val="both"/>
              <w:rPr/>
            </w:pPr>
            <w:r>
              <w:rPr/>
              <w:t>1,365.7</w:t>
            </w:r>
          </w:p>
        </w:tc>
      </w:tr>
      <w:tr>
        <w:trPr>
          <w:trHeight w:val="480" w:hRule="atLeast"/>
        </w:trPr>
        <w:tc>
          <w:tcPr>
            <w:tcW w:w="2520" w:type="dxa"/>
            <w:tcBorders/>
          </w:tcPr>
          <w:p>
            <w:pPr>
              <w:pStyle w:val="T0"/>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Normal"/>
              <w:tabs>
                <w:tab w:val="clear" w:pos="720"/>
                <w:tab w:val="decimal" w:pos="567" w:leader="none"/>
              </w:tabs>
              <w:spacing w:before="36" w:after="36"/>
              <w:jc w:val="both"/>
              <w:rPr/>
            </w:pPr>
            <w:r>
              <w:rPr/>
              <w:t>33.6</w:t>
            </w:r>
          </w:p>
        </w:tc>
        <w:tc>
          <w:tcPr>
            <w:tcW w:w="108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115.3</w:t>
            </w:r>
          </w:p>
        </w:tc>
        <w:tc>
          <w:tcPr>
            <w:tcW w:w="990" w:type="dxa"/>
            <w:tcBorders/>
            <w:vAlign w:val="center"/>
          </w:tcPr>
          <w:p>
            <w:pPr>
              <w:pStyle w:val="Normal"/>
              <w:tabs>
                <w:tab w:val="clear" w:pos="720"/>
                <w:tab w:val="decimal" w:pos="567" w:leader="none"/>
              </w:tabs>
              <w:spacing w:before="36" w:after="36"/>
              <w:jc w:val="both"/>
              <w:rPr/>
            </w:pPr>
            <w:r>
              <w:rPr/>
              <w:t>166.8</w:t>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PMW–MAIN</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T0"/>
              <w:tabs>
                <w:tab w:val="clear" w:pos="720"/>
                <w:tab w:val="decimal" w:pos="567" w:leader="none"/>
              </w:tabs>
              <w:snapToGrid w:val="false"/>
              <w:spacing w:before="36" w:after="36"/>
              <w:jc w:val="both"/>
              <w:rPr>
                <w:rFonts w:ascii="Times New Roman" w:hAnsi="Times New Roman" w:cs="Times New Roman"/>
              </w:rPr>
            </w:pPr>
            <w:r>
              <w:rPr>
                <w:rFonts w:cs="Times New Roman" w:ascii="Times New Roman" w:hAnsi="Times New Roman"/>
              </w:rPr>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22.4</w:t>
            </w:r>
          </w:p>
        </w:tc>
        <w:tc>
          <w:tcPr>
            <w:tcW w:w="135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26.2</w:t>
            </w:r>
          </w:p>
        </w:tc>
        <w:tc>
          <w:tcPr>
            <w:tcW w:w="1080" w:type="dxa"/>
            <w:tcBorders/>
            <w:vAlign w:val="center"/>
          </w:tcPr>
          <w:p>
            <w:pPr>
              <w:pStyle w:val="Normal"/>
              <w:rPr/>
            </w:pPr>
            <w:r>
              <w:rPr/>
              <w:t xml:space="preserve">       </w:t>
            </w:r>
            <w:r>
              <w:rPr/>
              <w:t>49.3</w:t>
            </w:r>
          </w:p>
        </w:tc>
        <w:tc>
          <w:tcPr>
            <w:tcW w:w="990" w:type="dxa"/>
            <w:tcBorders/>
            <w:vAlign w:val="center"/>
          </w:tcPr>
          <w:p>
            <w:pPr>
              <w:pStyle w:val="Normal"/>
              <w:tabs>
                <w:tab w:val="clear" w:pos="720"/>
                <w:tab w:val="decimal" w:pos="567" w:leader="none"/>
              </w:tabs>
              <w:spacing w:before="36" w:after="36"/>
              <w:jc w:val="both"/>
              <w:rPr/>
            </w:pPr>
            <w:r>
              <w:rPr/>
              <w:t>45.0</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pPr>
            <w:r>
              <w:rPr/>
              <w:t>39.9</w:t>
            </w:r>
          </w:p>
        </w:tc>
        <w:tc>
          <w:tcPr>
            <w:tcW w:w="1350" w:type="dxa"/>
            <w:tcBorders/>
            <w:vAlign w:val="center"/>
          </w:tcPr>
          <w:p>
            <w:pPr>
              <w:pStyle w:val="Normal"/>
              <w:tabs>
                <w:tab w:val="clear" w:pos="720"/>
                <w:tab w:val="decimal" w:pos="567" w:leader="none"/>
              </w:tabs>
              <w:spacing w:before="36" w:after="216"/>
              <w:jc w:val="both"/>
              <w:rPr/>
            </w:pPr>
            <w:r>
              <w:rPr/>
              <w:t>114.7</w:t>
            </w:r>
          </w:p>
        </w:tc>
        <w:tc>
          <w:tcPr>
            <w:tcW w:w="1080" w:type="dxa"/>
            <w:tcBorders/>
            <w:vAlign w:val="center"/>
          </w:tcPr>
          <w:p>
            <w:pPr>
              <w:pStyle w:val="Normal"/>
              <w:tabs>
                <w:tab w:val="clear" w:pos="720"/>
                <w:tab w:val="decimal" w:pos="567" w:leader="none"/>
              </w:tabs>
              <w:spacing w:before="36" w:after="216"/>
              <w:jc w:val="both"/>
              <w:rPr/>
            </w:pPr>
            <w:r>
              <w:rPr/>
              <w:t>690.4</w:t>
            </w:r>
          </w:p>
        </w:tc>
        <w:tc>
          <w:tcPr>
            <w:tcW w:w="990" w:type="dxa"/>
            <w:tcBorders/>
            <w:vAlign w:val="center"/>
          </w:tcPr>
          <w:p>
            <w:pPr>
              <w:pStyle w:val="Normal"/>
              <w:tabs>
                <w:tab w:val="clear" w:pos="720"/>
                <w:tab w:val="decimal" w:pos="567" w:leader="none"/>
              </w:tabs>
              <w:spacing w:before="36" w:after="216"/>
              <w:jc w:val="both"/>
              <w:rPr/>
            </w:pPr>
            <w:r>
              <w:rPr/>
              <w:t>922.3</w:t>
            </w:r>
          </w:p>
        </w:tc>
      </w:tr>
      <w:tr>
        <w:trPr>
          <w:trHeight w:val="480" w:hRule="atLeast"/>
        </w:trPr>
        <w:tc>
          <w:tcPr>
            <w:tcW w:w="2520" w:type="dxa"/>
            <w:tcBorders/>
          </w:tcPr>
          <w:p>
            <w:pPr>
              <w:pStyle w:val="Normal"/>
              <w:spacing w:before="36" w:after="216"/>
              <w:ind w:start="360" w:end="0"/>
              <w:rPr/>
            </w:pPr>
            <w:r>
              <w:rPr/>
              <w:t>Average Summer</w:t>
            </w:r>
            <w:r>
              <w:rPr>
                <w:vertAlign w:val="superscript"/>
              </w:rPr>
              <w:t>2</w:t>
            </w:r>
            <w:r>
              <w:rPr/>
              <w:t xml:space="preserve"> Peak</w:t>
            </w:r>
          </w:p>
        </w:tc>
        <w:tc>
          <w:tcPr>
            <w:tcW w:w="990" w:type="dxa"/>
            <w:tcBorders/>
            <w:vAlign w:val="center"/>
          </w:tcPr>
          <w:p>
            <w:pPr>
              <w:pStyle w:val="Normal"/>
              <w:tabs>
                <w:tab w:val="clear" w:pos="720"/>
                <w:tab w:val="decimal" w:pos="567" w:leader="none"/>
              </w:tabs>
              <w:spacing w:before="36" w:after="216"/>
              <w:jc w:val="both"/>
              <w:rPr/>
            </w:pPr>
            <w:r>
              <w:rPr/>
              <w:t>24.8</w:t>
            </w:r>
          </w:p>
        </w:tc>
        <w:tc>
          <w:tcPr>
            <w:tcW w:w="1350" w:type="dxa"/>
            <w:tcBorders/>
            <w:vAlign w:val="center"/>
          </w:tcPr>
          <w:p>
            <w:pPr>
              <w:pStyle w:val="Normal"/>
              <w:tabs>
                <w:tab w:val="clear" w:pos="720"/>
                <w:tab w:val="decimal" w:pos="567" w:leader="none"/>
              </w:tabs>
              <w:spacing w:before="36" w:after="216"/>
              <w:jc w:val="both"/>
              <w:rPr/>
            </w:pPr>
            <w:r>
              <w:rPr/>
              <w:t>34.9</w:t>
            </w:r>
          </w:p>
        </w:tc>
        <w:tc>
          <w:tcPr>
            <w:tcW w:w="1080" w:type="dxa"/>
            <w:tcBorders/>
            <w:vAlign w:val="center"/>
          </w:tcPr>
          <w:p>
            <w:pPr>
              <w:pStyle w:val="Normal"/>
              <w:tabs>
                <w:tab w:val="clear" w:pos="720"/>
                <w:tab w:val="decimal" w:pos="567" w:leader="none"/>
              </w:tabs>
              <w:spacing w:before="36" w:after="216"/>
              <w:jc w:val="both"/>
              <w:rPr/>
            </w:pPr>
            <w:r>
              <w:rPr/>
              <w:t>113.9</w:t>
            </w:r>
          </w:p>
        </w:tc>
        <w:tc>
          <w:tcPr>
            <w:tcW w:w="990" w:type="dxa"/>
            <w:tcBorders/>
            <w:vAlign w:val="center"/>
          </w:tcPr>
          <w:p>
            <w:pPr>
              <w:pStyle w:val="Normal"/>
              <w:tabs>
                <w:tab w:val="clear" w:pos="720"/>
                <w:tab w:val="decimal" w:pos="567" w:leader="none"/>
              </w:tabs>
              <w:spacing w:before="36" w:after="216"/>
              <w:jc w:val="both"/>
              <w:rPr/>
            </w:pPr>
            <w:r>
              <w:rPr/>
              <w:t>104.0</w:t>
            </w:r>
            <w:r>
              <w:rPr>
                <w:rStyle w:val="CommentReference"/>
                <w:vanish w:val="false"/>
              </w:rPr>
              <w:commentReference w:id="9"/>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Megawatt Daily –  ComEd</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T0"/>
              <w:tabs>
                <w:tab w:val="clear" w:pos="720"/>
                <w:tab w:val="decimal" w:pos="567" w:leader="none"/>
              </w:tabs>
              <w:snapToGrid w:val="false"/>
              <w:spacing w:before="36" w:after="36"/>
              <w:jc w:val="both"/>
              <w:rPr>
                <w:rFonts w:ascii="Times New Roman" w:hAnsi="Times New Roman" w:cs="Times New Roman"/>
              </w:rPr>
            </w:pPr>
            <w:r>
              <w:rPr>
                <w:rFonts w:cs="Times New Roman" w:ascii="Times New Roman" w:hAnsi="Times New Roman"/>
              </w:rPr>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NA</w:t>
            </w:r>
          </w:p>
        </w:tc>
        <w:tc>
          <w:tcPr>
            <w:tcW w:w="135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26.2</w:t>
            </w:r>
          </w:p>
        </w:tc>
        <w:tc>
          <w:tcPr>
            <w:tcW w:w="1080" w:type="dxa"/>
            <w:tcBorders/>
            <w:vAlign w:val="center"/>
          </w:tcPr>
          <w:p>
            <w:pPr>
              <w:pStyle w:val="Normal"/>
              <w:rPr/>
            </w:pPr>
            <w:r>
              <w:rPr/>
              <w:t xml:space="preserve">       </w:t>
            </w:r>
            <w:r>
              <w:rPr/>
              <w:t>46.0</w:t>
            </w:r>
          </w:p>
        </w:tc>
        <w:tc>
          <w:tcPr>
            <w:tcW w:w="990" w:type="dxa"/>
            <w:tcBorders/>
            <w:vAlign w:val="center"/>
          </w:tcPr>
          <w:p>
            <w:pPr>
              <w:pStyle w:val="Normal"/>
              <w:tabs>
                <w:tab w:val="clear" w:pos="720"/>
                <w:tab w:val="decimal" w:pos="567" w:leader="none"/>
              </w:tabs>
              <w:spacing w:before="36" w:after="36"/>
              <w:jc w:val="both"/>
              <w:rPr/>
            </w:pPr>
            <w:r>
              <w:rPr/>
              <w:t>43.2</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pPr>
            <w:r>
              <w:rPr/>
              <w:t>NA</w:t>
            </w:r>
          </w:p>
        </w:tc>
        <w:tc>
          <w:tcPr>
            <w:tcW w:w="1350" w:type="dxa"/>
            <w:tcBorders/>
            <w:vAlign w:val="center"/>
          </w:tcPr>
          <w:p>
            <w:pPr>
              <w:pStyle w:val="Normal"/>
              <w:tabs>
                <w:tab w:val="clear" w:pos="720"/>
                <w:tab w:val="decimal" w:pos="567" w:leader="none"/>
              </w:tabs>
              <w:spacing w:before="36" w:after="216"/>
              <w:jc w:val="both"/>
              <w:rPr/>
            </w:pPr>
            <w:r>
              <w:rPr/>
              <w:t>192.2</w:t>
            </w:r>
          </w:p>
        </w:tc>
        <w:tc>
          <w:tcPr>
            <w:tcW w:w="1080" w:type="dxa"/>
            <w:tcBorders/>
            <w:vAlign w:val="center"/>
          </w:tcPr>
          <w:p>
            <w:pPr>
              <w:pStyle w:val="Normal"/>
              <w:tabs>
                <w:tab w:val="clear" w:pos="720"/>
                <w:tab w:val="decimal" w:pos="567" w:leader="none"/>
              </w:tabs>
              <w:spacing w:before="36" w:after="216"/>
              <w:jc w:val="both"/>
              <w:rPr/>
            </w:pPr>
            <w:r>
              <w:rPr/>
              <w:t>2,700.0</w:t>
            </w:r>
          </w:p>
        </w:tc>
        <w:tc>
          <w:tcPr>
            <w:tcW w:w="990" w:type="dxa"/>
            <w:tcBorders/>
            <w:vAlign w:val="center"/>
          </w:tcPr>
          <w:p>
            <w:pPr>
              <w:pStyle w:val="Normal"/>
              <w:tabs>
                <w:tab w:val="clear" w:pos="720"/>
                <w:tab w:val="decimal" w:pos="567" w:leader="none"/>
              </w:tabs>
              <w:spacing w:before="36" w:after="216"/>
              <w:jc w:val="both"/>
              <w:rPr/>
            </w:pPr>
            <w:r>
              <w:rPr/>
              <w:t>1,784.5</w:t>
            </w:r>
          </w:p>
        </w:tc>
      </w:tr>
      <w:tr>
        <w:trPr>
          <w:trHeight w:val="480" w:hRule="atLeast"/>
        </w:trPr>
        <w:tc>
          <w:tcPr>
            <w:tcW w:w="2520" w:type="dxa"/>
            <w:tcBorders>
              <w:bottom w:val="single" w:sz="4" w:space="0" w:color="000000"/>
            </w:tcBorders>
          </w:tcPr>
          <w:p>
            <w:pPr>
              <w:pStyle w:val="Normal"/>
              <w:spacing w:before="36" w:after="216"/>
              <w:ind w:start="360" w:end="0"/>
              <w:rPr/>
            </w:pPr>
            <w:r>
              <w:rPr/>
              <w:t>Average Summer</w:t>
            </w:r>
            <w:r>
              <w:rPr>
                <w:vertAlign w:val="superscript"/>
              </w:rPr>
              <w:t>2</w:t>
            </w:r>
            <w:r>
              <w:rPr/>
              <w:t xml:space="preserve"> Peak</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pPr>
            <w:r>
              <w:rPr/>
              <w:t>NA</w:t>
            </w:r>
          </w:p>
        </w:tc>
        <w:tc>
          <w:tcPr>
            <w:tcW w:w="1350" w:type="dxa"/>
            <w:tcBorders>
              <w:bottom w:val="single" w:sz="4" w:space="0" w:color="000000"/>
            </w:tcBorders>
            <w:vAlign w:val="center"/>
          </w:tcPr>
          <w:p>
            <w:pPr>
              <w:pStyle w:val="Normal"/>
              <w:tabs>
                <w:tab w:val="clear" w:pos="720"/>
                <w:tab w:val="decimal" w:pos="567" w:leader="none"/>
              </w:tabs>
              <w:spacing w:before="36" w:after="216"/>
              <w:jc w:val="both"/>
              <w:rPr/>
            </w:pPr>
            <w:r>
              <w:rPr/>
              <w:t>31.3</w:t>
            </w:r>
          </w:p>
        </w:tc>
        <w:tc>
          <w:tcPr>
            <w:tcW w:w="1080" w:type="dxa"/>
            <w:tcBorders>
              <w:bottom w:val="single" w:sz="4" w:space="0" w:color="000000"/>
            </w:tcBorders>
            <w:vAlign w:val="center"/>
          </w:tcPr>
          <w:p>
            <w:pPr>
              <w:pStyle w:val="Normal"/>
              <w:tabs>
                <w:tab w:val="clear" w:pos="720"/>
                <w:tab w:val="decimal" w:pos="567" w:leader="none"/>
              </w:tabs>
              <w:spacing w:before="36" w:after="216"/>
              <w:jc w:val="both"/>
              <w:rPr/>
            </w:pPr>
            <w:r>
              <w:rPr/>
              <w:t>118.6</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pPr>
            <w:r>
              <w:rPr/>
              <w:t>108.8</w:t>
            </w:r>
          </w:p>
        </w:tc>
      </w:tr>
    </w:tbl>
    <w:p>
      <w:pPr>
        <w:pStyle w:val="Normal"/>
        <w:rPr/>
      </w:pPr>
      <w:bookmarkStart w:id="27" w:name="scanchart"/>
      <w:bookmarkEnd w:id="27"/>
      <w:r>
        <w:rPr>
          <w:sz w:val="16"/>
        </w:rPr>
        <w:t xml:space="preserve">             </w:t>
      </w:r>
      <w:r>
        <w:rPr>
          <w:sz w:val="16"/>
          <w:vertAlign w:val="superscript"/>
        </w:rPr>
        <w:t>1</w:t>
      </w:r>
      <w:r>
        <w:rPr>
          <w:sz w:val="16"/>
        </w:rPr>
        <w:t xml:space="preserve"> Includes weekday hours 6 through 22.</w:t>
      </w:r>
    </w:p>
    <w:p>
      <w:pPr>
        <w:pStyle w:val="Normal"/>
        <w:rPr/>
      </w:pPr>
      <w:r>
        <w:rPr>
          <w:sz w:val="16"/>
        </w:rPr>
        <w:t xml:space="preserve">             </w:t>
      </w:r>
      <w:r>
        <w:rPr>
          <w:sz w:val="16"/>
          <w:vertAlign w:val="superscript"/>
        </w:rPr>
        <w:t>2</w:t>
      </w:r>
      <w:r>
        <w:rPr>
          <w:sz w:val="16"/>
        </w:rPr>
        <w:t xml:space="preserve"> Includes months June, July and August.</w:t>
      </w:r>
    </w:p>
    <w:p>
      <w:pPr>
        <w:pStyle w:val="Normal"/>
        <w:rPr>
          <w:sz w:val="16"/>
        </w:rPr>
      </w:pPr>
      <w:r>
        <w:rPr>
          <w:sz w:val="16"/>
        </w:rPr>
        <w:t xml:space="preserve">               </w:t>
      </w:r>
      <w:r>
        <w:rPr>
          <w:sz w:val="16"/>
        </w:rPr>
        <w:t>Source: Power Market Week (PMW) weekly index and Megawatt Daily daily index.</w:t>
      </w:r>
    </w:p>
    <w:p>
      <w:pPr>
        <w:pStyle w:val="Normal"/>
        <w:rPr>
          <w:sz w:val="16"/>
        </w:rPr>
      </w:pPr>
      <w:r>
        <w:rPr>
          <w:sz w:val="16"/>
        </w:rPr>
      </w:r>
    </w:p>
    <w:p>
      <w:pPr>
        <w:pStyle w:val="A0b"/>
        <w:numPr>
          <w:ilvl w:val="0"/>
          <w:numId w:val="6"/>
        </w:numPr>
        <w:ind w:hanging="0" w:start="0"/>
        <w:rPr>
          <w:rFonts w:ascii="Times New Roman" w:hAnsi="Times New Roman" w:cs="Times New Roman"/>
        </w:rPr>
      </w:pPr>
      <w:r>
        <w:rPr>
          <w:rFonts w:cs="Times New Roman" w:ascii="Times New Roman" w:hAnsi="Times New Roman"/>
        </w:rPr>
        <w:t>While Midwest peak demand growth has been strong recently, capacity expansion has not kept pace.  This is attributable, in part, to both the excess capacity that followed tremendous capacity expansion in the 1980s and to the regulated structure of rate base expansion.  Over the last two years, the supply/demand balance for peak hours has tightened significantly, mainly due to nuclear shutdowns and lack of new construction.</w:t>
      </w:r>
    </w:p>
    <w:p>
      <w:pPr>
        <w:pStyle w:val="A0b"/>
        <w:numPr>
          <w:ilvl w:val="0"/>
          <w:numId w:val="6"/>
        </w:numPr>
        <w:ind w:hanging="0" w:start="0"/>
        <w:rPr>
          <w:rFonts w:ascii="Times New Roman" w:hAnsi="Times New Roman" w:cs="Times New Roman"/>
        </w:rPr>
      </w:pPr>
      <w:r>
        <w:rPr>
          <w:rFonts w:cs="Times New Roman" w:ascii="Times New Roman" w:hAnsi="Times New Roman"/>
        </w:rPr>
        <w:t xml:space="preserve">The progressive tightening of the capacity situation in ComEd/MAIN was reflected in the difference in the price spikes in 1997 and that in 1998 and 1999. The daily price index in the summer of 1997 reached as high as $192/MWh. </w:t>
      </w:r>
    </w:p>
    <w:p>
      <w:pPr>
        <w:pStyle w:val="A0b"/>
        <w:numPr>
          <w:ilvl w:val="0"/>
          <w:numId w:val="6"/>
        </w:numPr>
        <w:ind w:hanging="0" w:start="0"/>
        <w:rPr>
          <w:rFonts w:ascii="Times New Roman" w:hAnsi="Times New Roman" w:cs="Times New Roman"/>
        </w:rPr>
      </w:pPr>
      <w:r>
        <w:rPr>
          <w:rFonts w:cs="Times New Roman" w:ascii="Times New Roman" w:hAnsi="Times New Roman"/>
        </w:rPr>
        <w:t xml:space="preserve">The picture changed dramatically in the summer of 1998. Outages of key nuclear units led to daily prices reaching as high as $2,700/MWh in 1998 with hourly prices being reported to be as high as $7,000/MWh. </w:t>
      </w:r>
    </w:p>
    <w:p>
      <w:pPr>
        <w:pStyle w:val="A0b"/>
        <w:numPr>
          <w:ilvl w:val="0"/>
          <w:numId w:val="6"/>
        </w:numPr>
        <w:ind w:hanging="0" w:start="0"/>
        <w:rPr>
          <w:rFonts w:ascii="Times New Roman" w:hAnsi="Times New Roman" w:cs="Times New Roman"/>
        </w:rPr>
      </w:pPr>
      <w:r>
        <w:rPr>
          <w:rFonts w:cs="Times New Roman" w:ascii="Times New Roman" w:hAnsi="Times New Roman"/>
        </w:rPr>
        <w:t>Capacity situation in 1999 continued to be grim as higher than expected summer demand pushed daily prices as high as $1,785/MWh. MAIN as a whole reported peak demand at approximately 5 percent higher than forecasted, while many utilities reported peaks at about 10 percent higher than forecasted. ComEd region experienced extensive outages between late July and early August.</w:t>
      </w:r>
    </w:p>
    <w:p>
      <w:pPr>
        <w:pStyle w:val="Ttl0"/>
        <w:keepNext w:val="true"/>
        <w:numPr>
          <w:ilvl w:val="0"/>
          <w:numId w:val="0"/>
        </w:numPr>
        <w:outlineLvl w:val="0"/>
        <w:rPr>
          <w:rFonts w:ascii="Times New Roman" w:hAnsi="Times New Roman" w:cs="Times New Roman"/>
          <w:sz w:val="24"/>
        </w:rPr>
      </w:pPr>
      <w:r>
        <w:drawing>
          <wp:anchor behindDoc="0" distT="0" distB="0" distL="114935" distR="114935" simplePos="0" locked="0" layoutInCell="0" allowOverlap="1" relativeHeight="36">
            <wp:simplePos x="0" y="0"/>
            <wp:positionH relativeFrom="column">
              <wp:posOffset>189865</wp:posOffset>
            </wp:positionH>
            <wp:positionV relativeFrom="paragraph">
              <wp:posOffset>204470</wp:posOffset>
            </wp:positionV>
            <wp:extent cx="5479415" cy="4107815"/>
            <wp:effectExtent l="0" t="0" r="0" b="0"/>
            <wp:wrapTopAndBottom/>
            <wp:docPr id="2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descr="" title=""/>
                    <pic:cNvPicPr>
                      <a:picLocks noChangeAspect="1" noChangeArrowheads="1"/>
                    </pic:cNvPicPr>
                  </pic:nvPicPr>
                  <pic:blipFill>
                    <a:blip r:embed="rId20"/>
                    <a:srcRect l="-4" t="-5" r="-4" b="-5"/>
                    <a:stretch>
                      <a:fillRect/>
                    </a:stretch>
                  </pic:blipFill>
                  <pic:spPr bwMode="auto">
                    <a:xfrm>
                      <a:off x="0" y="0"/>
                      <a:ext cx="5479415" cy="4107815"/>
                    </a:xfrm>
                    <a:prstGeom prst="rect">
                      <a:avLst/>
                    </a:prstGeom>
                    <a:noFill/>
                  </pic:spPr>
                </pic:pic>
              </a:graphicData>
            </a:graphic>
          </wp:anchor>
        </w:drawing>
      </w:r>
      <w:r>
        <w:rPr>
          <w:rFonts w:cs="Times New Roman" w:ascii="Times New Roman" w:hAnsi="Times New Roman"/>
          <w:sz w:val="24"/>
        </w:rPr>
        <w:t xml:space="preserve">       </w:t>
      </w:r>
      <w:r>
        <w:rPr>
          <w:rFonts w:cs="Times New Roman" w:ascii="Times New Roman" w:hAnsi="Times New Roman"/>
          <w:sz w:val="24"/>
        </w:rPr>
        <w:tab/>
        <w:t xml:space="preserve">MAIN Weekly Indexes – Recent Price Spikes in MAIN </w:t>
      </w:r>
    </w:p>
    <w:p>
      <w:pPr>
        <w:pStyle w:val="Ttl0"/>
        <w:keepNext w:val="true"/>
        <w:ind w:start="1440" w:end="0"/>
        <w:rPr>
          <w:rFonts w:ascii="Times New Roman" w:hAnsi="Times New Roman" w:cs="Times New Roman"/>
        </w:rPr>
      </w:pPr>
      <w:r>
        <w:rPr>
          <w:rStyle w:val="CommentReference"/>
          <w:rFonts w:cs="Times New Roman" w:ascii="Times New Roman" w:hAnsi="Times New Roman"/>
          <w:b/>
          <w:vanish w:val="false"/>
        </w:rPr>
        <w:commentReference w:id="10"/>
      </w:r>
    </w:p>
    <w:p>
      <w:pPr>
        <w:pStyle w:val="Normal"/>
        <w:numPr>
          <w:ilvl w:val="0"/>
          <w:numId w:val="0"/>
        </w:numPr>
        <w:tabs>
          <w:tab w:val="clear" w:pos="720"/>
          <w:tab w:val="left" w:pos="5040" w:leader="none"/>
        </w:tabs>
        <w:spacing w:before="120" w:after="0"/>
        <w:outlineLvl w:val="0"/>
        <w:rPr>
          <w:sz w:val="16"/>
        </w:rPr>
      </w:pPr>
      <w:r>
        <w:rPr/>
        <w:t xml:space="preserve">             </w:t>
      </w:r>
      <w:r>
        <w:rPr/>
        <w:t>Source: Power Markets Week.</w:t>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SecRN0"/>
        <w:rPr>
          <w:rFonts w:ascii="Times New Roman" w:hAnsi="Times New Roman" w:cs="Times New Roman"/>
        </w:rPr>
      </w:pPr>
      <w:r>
        <w:rPr>
          <w:rFonts w:cs="Times New Roman" w:ascii="Times New Roman" w:hAnsi="Times New Roman"/>
        </w:rPr>
        <w:t>IV.</w:t>
        <w:tab/>
        <w:t xml:space="preserve">EAST CENTRAL AREA RELIABILITY COORDINATION AGREEMENT AREA (“ECAR”) </w:t>
      </w:r>
    </w:p>
    <w:p>
      <w:pPr>
        <w:pStyle w:val="HdLet0"/>
        <w:rPr>
          <w:rFonts w:ascii="Times New Roman" w:hAnsi="Times New Roman" w:cs="Times New Roman"/>
        </w:rPr>
      </w:pPr>
      <w:r>
        <w:rPr>
          <w:rFonts w:cs="Times New Roman" w:ascii="Times New Roman" w:hAnsi="Times New Roman"/>
        </w:rPr>
        <w:t>A.</w:t>
        <w:tab/>
        <w:t xml:space="preserve">ECAR Regional Overview </w:t>
      </w:r>
    </w:p>
    <w:p>
      <w:pPr>
        <w:pStyle w:val="A0b"/>
        <w:numPr>
          <w:ilvl w:val="0"/>
          <w:numId w:val="6"/>
        </w:numPr>
        <w:spacing w:before="100" w:after="360"/>
        <w:ind w:hanging="0" w:start="0"/>
        <w:rPr>
          <w:rFonts w:ascii="Times New Roman" w:hAnsi="Times New Roman" w:cs="Times New Roman"/>
        </w:rPr>
      </w:pPr>
      <w:r>
        <w:rPr>
          <w:rFonts w:cs="Times New Roman" w:ascii="Times New Roman" w:hAnsi="Times New Roman"/>
        </w:rPr>
        <w:t>ECAR covers all or portions of Indiana, Kentucky, Michigan, Ohio, Pennsylvania, Virginia, Maryland, and West Virginia.</w:t>
      </w:r>
    </w:p>
    <w:p>
      <w:pPr>
        <w:pStyle w:val="Hidden"/>
        <w:ind w:firstLine="1980" w:end="0"/>
        <w:rPr/>
      </w:pPr>
      <w:bookmarkStart w:id="28" w:name="_1020159120"/>
      <w:bookmarkEnd w:id="28"/>
      <w:r>
        <w:rPr>
          <w:rFonts w:cs="Times New Roman" w:ascii="Times New Roman" w:hAnsi="Times New Roman"/>
          <w:b w:val="false"/>
          <w:vanish w:val="false"/>
          <w:sz w:val="20"/>
        </w:rPr>
        <w:object w:dxaOrig="8061" w:dyaOrig="4321">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403.05pt;height:216.05pt" filled="f" o:ole="">
            <v:imagedata r:id="rId22" o:title=""/>
          </v:shape>
          <o:OLEObject Type="Embed" ProgID="" ShapeID="ole_rId21" DrawAspect="Content" ObjectID="_1027909115" r:id="rId21"/>
        </w:object>
      </w:r>
      <w:r>
        <w:rPr>
          <w:rFonts w:cs="Times New Roman" w:ascii="Times New Roman" w:hAnsi="Times New Roman"/>
          <w:b w:val="false"/>
          <w:sz w:val="20"/>
        </w:rPr>
        <w:t>k:\adobe\tif_april\enron\....tif,gif,jpg</w:t>
      </w:r>
    </w:p>
    <w:p>
      <w:pPr>
        <w:pStyle w:val="Normal"/>
        <w:ind w:start="1440" w:end="0"/>
        <w:rPr>
          <w:rFonts w:ascii="Times New Roman" w:hAnsi="Times New Roman" w:cs="Times New Roman"/>
          <w:b/>
          <w:sz w:val="24"/>
        </w:rPr>
      </w:pPr>
      <w:r>
        <w:rPr>
          <w:rFonts w:cs="Times New Roman"/>
          <w:b/>
          <w:sz w:val="24"/>
        </w:rPr>
      </w:r>
    </w:p>
    <w:p>
      <w:pPr>
        <w:pStyle w:val="A0b"/>
        <w:numPr>
          <w:ilvl w:val="0"/>
          <w:numId w:val="6"/>
        </w:numPr>
        <w:ind w:hanging="0" w:start="0"/>
        <w:rPr>
          <w:rFonts w:ascii="Times New Roman" w:hAnsi="Times New Roman" w:cs="Times New Roman"/>
        </w:rPr>
      </w:pPr>
      <w:r>
        <w:rPr>
          <w:rFonts w:cs="Times New Roman" w:ascii="Times New Roman" w:hAnsi="Times New Roman"/>
        </w:rPr>
        <w:t>ECAR is not a centrally dispatched or “tight” power pool.  Several sub-areas of ECAR have historically operated on a tight basis.  These include the American Electric Power System (“AEP”), the Allegheny Power System (“APS”), and the Michigan Electric Coordinated System (“MECS”).  Although total sales for individual utilities such as AEP are significant, ECAR is not dominated by one or more utilities.  Competition is further augmented by ECAR’s extensive transmission which allows for large amounts of imports and exports.</w:t>
      </w:r>
    </w:p>
    <w:p>
      <w:pPr>
        <w:pStyle w:val="A0b"/>
        <w:numPr>
          <w:ilvl w:val="0"/>
          <w:numId w:val="6"/>
        </w:numPr>
        <w:ind w:hanging="0" w:start="0"/>
        <w:rPr>
          <w:rFonts w:ascii="Times New Roman" w:hAnsi="Times New Roman" w:cs="Times New Roman"/>
        </w:rPr>
      </w:pPr>
      <w:r>
        <w:rPr>
          <w:rFonts w:cs="Times New Roman" w:ascii="Times New Roman" w:hAnsi="Times New Roman"/>
        </w:rPr>
        <w:t>Laws concerning deregulation have been passed in Ohio, Virginia, West Virginia and Maryland. These states require full retail access by January 2004 at the latest. Kentucky has decided not to pursue any legislation requiring deregulation in 2000, citing its low cost of power. A deregulation bill in the Indiana legislature was defeated in 1999 due to opposition from utilities, labor and environmental groups.</w:t>
      </w:r>
    </w:p>
    <w:p>
      <w:pPr>
        <w:pStyle w:val="A0b"/>
        <w:numPr>
          <w:ilvl w:val="0"/>
          <w:numId w:val="6"/>
        </w:numPr>
        <w:ind w:hanging="0" w:start="0"/>
        <w:rPr>
          <w:rFonts w:ascii="Times New Roman" w:hAnsi="Times New Roman" w:cs="Times New Roman"/>
        </w:rPr>
      </w:pPr>
      <w:r>
        <w:rPr>
          <w:rFonts w:cs="Times New Roman" w:ascii="Times New Roman" w:hAnsi="Times New Roman"/>
        </w:rPr>
        <w:t>There has not been much in the way of asset divestiture in ECAR with the exception of Duquesne in Pennsylvania. Most of the deregulation legislation in the states in the region does not require divestiture.  Both Ohio and West Virginia require all generating assets belonging to a utility to be transferred to a separate unregulated subsidiary by 2005.</w:t>
      </w:r>
    </w:p>
    <w:p>
      <w:pPr>
        <w:pStyle w:val="Sub0"/>
        <w:keepLines/>
        <w:numPr>
          <w:ilvl w:val="0"/>
          <w:numId w:val="0"/>
        </w:numPr>
        <w:spacing w:before="240" w:after="0"/>
        <w:ind w:hanging="0" w:start="1440"/>
        <w:outlineLvl w:val="0"/>
        <w:rPr/>
      </w:pPr>
      <w:r>
        <w:rPr/>
        <w:t>ECAR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rFonts w:ascii="Times New Roman" w:hAnsi="Times New Roman" w:cs="Times New Roman"/>
                <w:vertAlign w:val="superscript"/>
              </w:rPr>
            </w:pPr>
            <w:r>
              <w:rPr>
                <w:rFonts w:cs="Times New Roman" w:ascii="Times New Roman" w:hAnsi="Times New Roman"/>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110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3" w:leader="none"/>
              </w:tabs>
              <w:spacing w:before="36" w:after="36"/>
              <w:ind w:start="45" w:end="0"/>
              <w:rPr/>
            </w:pPr>
            <w:r>
              <w:rPr/>
              <w:t>93 GW</w:t>
            </w:r>
          </w:p>
        </w:tc>
      </w:tr>
      <w:tr>
        <w:trPr/>
        <w:tc>
          <w:tcPr>
            <w:tcW w:w="3825" w:type="dxa"/>
            <w:tcBorders/>
          </w:tcPr>
          <w:p>
            <w:pPr>
              <w:pStyle w:val="Normal"/>
              <w:keepNext w:val="true"/>
              <w:keepLines/>
              <w:spacing w:before="36" w:after="36"/>
              <w:rPr>
                <w:vertAlign w:val="superscript"/>
              </w:rPr>
            </w:pPr>
            <w:r>
              <w:rPr/>
              <w:t>Capacity Within One Wheel</w:t>
            </w:r>
          </w:p>
        </w:tc>
        <w:tc>
          <w:tcPr>
            <w:tcW w:w="2475" w:type="dxa"/>
            <w:tcBorders/>
          </w:tcPr>
          <w:p>
            <w:pPr>
              <w:pStyle w:val="Normal"/>
              <w:keepNext w:val="true"/>
              <w:keepLines/>
              <w:tabs>
                <w:tab w:val="clear" w:pos="720"/>
                <w:tab w:val="decimal" w:pos="1123" w:leader="none"/>
              </w:tabs>
              <w:spacing w:before="36" w:after="36"/>
              <w:ind w:start="45" w:end="0"/>
              <w:rPr/>
            </w:pPr>
            <w:r>
              <w:rPr/>
              <w:t>375 GW</w:t>
            </w:r>
          </w:p>
        </w:tc>
      </w:tr>
      <w:tr>
        <w:trPr/>
        <w:tc>
          <w:tcPr>
            <w:tcW w:w="3825" w:type="dxa"/>
            <w:tcBorders/>
          </w:tcPr>
          <w:p>
            <w:pPr>
              <w:pStyle w:val="Normal"/>
              <w:keepNext w:val="true"/>
              <w:keepLines/>
              <w:spacing w:before="36" w:after="36"/>
              <w:rPr>
                <w:vertAlign w:val="superscript"/>
              </w:rPr>
            </w:pPr>
            <w:r>
              <w:rPr/>
              <w:t>Import Capability</w:t>
            </w:r>
          </w:p>
        </w:tc>
        <w:tc>
          <w:tcPr>
            <w:tcW w:w="2475" w:type="dxa"/>
            <w:tcBorders/>
          </w:tcPr>
          <w:p>
            <w:pPr>
              <w:pStyle w:val="Normal"/>
              <w:keepNext w:val="true"/>
              <w:keepLines/>
              <w:tabs>
                <w:tab w:val="clear" w:pos="720"/>
                <w:tab w:val="decimal" w:pos="1123" w:leader="none"/>
              </w:tabs>
              <w:spacing w:before="36" w:after="36"/>
              <w:ind w:start="45" w:end="0"/>
              <w:rPr/>
            </w:pPr>
            <w:r>
              <w:rPr/>
              <w:t>17 GW</w:t>
            </w:r>
          </w:p>
        </w:tc>
      </w:tr>
      <w:tr>
        <w:trPr/>
        <w:tc>
          <w:tcPr>
            <w:tcW w:w="3825" w:type="dxa"/>
            <w:tcBorders/>
          </w:tcPr>
          <w:p>
            <w:pPr>
              <w:pStyle w:val="Normal"/>
              <w:keepNext w:val="true"/>
              <w:keepLines/>
              <w:spacing w:before="36" w:after="36"/>
              <w:rPr>
                <w:vertAlign w:val="superscript"/>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10 GW</w:t>
            </w:r>
          </w:p>
        </w:tc>
      </w:tr>
      <w:tr>
        <w:trPr/>
        <w:tc>
          <w:tcPr>
            <w:tcW w:w="3825" w:type="dxa"/>
            <w:tcBorders/>
          </w:tcPr>
          <w:p>
            <w:pPr>
              <w:pStyle w:val="Normal"/>
              <w:keepNext w:val="true"/>
              <w:keepLines/>
              <w:spacing w:before="36" w:after="36"/>
              <w:rPr>
                <w:vertAlign w:val="superscript"/>
              </w:rPr>
            </w:pPr>
            <w:r>
              <w:rPr/>
              <w:t>Net Annual Energy for load</w:t>
            </w:r>
          </w:p>
        </w:tc>
        <w:tc>
          <w:tcPr>
            <w:tcW w:w="2475" w:type="dxa"/>
            <w:tcBorders/>
          </w:tcPr>
          <w:p>
            <w:pPr>
              <w:pStyle w:val="Normal"/>
              <w:keepNext w:val="true"/>
              <w:keepLines/>
              <w:tabs>
                <w:tab w:val="clear" w:pos="720"/>
                <w:tab w:val="decimal" w:pos="1123" w:leader="none"/>
              </w:tabs>
              <w:spacing w:before="36" w:after="36"/>
              <w:ind w:start="45" w:end="0"/>
              <w:rPr/>
            </w:pPr>
            <w:r>
              <w:rPr/>
              <w:t>569,713 GWh</w:t>
            </w:r>
          </w:p>
        </w:tc>
      </w:tr>
      <w:tr>
        <w:trPr/>
        <w:tc>
          <w:tcPr>
            <w:tcW w:w="3825" w:type="dxa"/>
            <w:tcBorders/>
          </w:tcPr>
          <w:p>
            <w:pPr>
              <w:pStyle w:val="Normal"/>
              <w:keepNext w:val="true"/>
              <w:keepLines/>
              <w:spacing w:before="36" w:after="36"/>
              <w:rPr>
                <w:vertAlign w:val="superscript"/>
              </w:rPr>
            </w:pPr>
            <w:r>
              <w:rPr/>
              <w:t>Average Demand</w:t>
            </w:r>
          </w:p>
        </w:tc>
        <w:tc>
          <w:tcPr>
            <w:tcW w:w="2475" w:type="dxa"/>
            <w:tcBorders/>
          </w:tcPr>
          <w:p>
            <w:pPr>
              <w:pStyle w:val="Normal"/>
              <w:keepNext w:val="true"/>
              <w:keepLines/>
              <w:tabs>
                <w:tab w:val="clear" w:pos="720"/>
                <w:tab w:val="decimal" w:pos="1123" w:leader="none"/>
              </w:tabs>
              <w:spacing w:before="36" w:after="36"/>
              <w:ind w:start="45" w:end="0"/>
              <w:rPr/>
            </w:pPr>
            <w:r>
              <w:rPr/>
              <w:t>65 GW</w:t>
            </w:r>
          </w:p>
        </w:tc>
      </w:tr>
      <w:tr>
        <w:trPr/>
        <w:tc>
          <w:tcPr>
            <w:tcW w:w="3825" w:type="dxa"/>
            <w:tcBorders>
              <w:bottom w:val="single" w:sz="6" w:space="0" w:color="000000"/>
            </w:tcBorders>
          </w:tcPr>
          <w:p>
            <w:pPr>
              <w:pStyle w:val="Normal"/>
              <w:keepNext w:val="true"/>
              <w:keepLines/>
              <w:spacing w:before="36" w:after="216"/>
              <w:rPr>
                <w:vertAlign w:val="superscript"/>
              </w:rPr>
            </w:pPr>
            <w:r>
              <w:rPr/>
              <w:t>Net Exports</w:t>
            </w:r>
          </w:p>
        </w:tc>
        <w:tc>
          <w:tcPr>
            <w:tcW w:w="2475"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 xml:space="preserve"> </w:t>
            </w:r>
            <w:r>
              <w:rPr/>
              <w:t>32,030 GWh</w:t>
            </w:r>
          </w:p>
        </w:tc>
      </w:tr>
    </w:tbl>
    <w:p>
      <w:pPr>
        <w:pStyle w:val="Normal"/>
        <w:ind w:start="1440" w:end="0"/>
        <w:rPr/>
      </w:pPr>
      <w:r>
        <w:rPr/>
        <w:t>Source ICF Base Case Forecasts for 2000</w:t>
      </w:r>
    </w:p>
    <w:p>
      <w:pPr>
        <w:pStyle w:val="Normal"/>
        <w:ind w:start="1440" w:end="0"/>
        <w:rPr/>
      </w:pPr>
      <w:r>
        <w:rPr/>
      </w:r>
    </w:p>
    <w:p>
      <w:pPr>
        <w:pStyle w:val="HdLet0"/>
        <w:rPr>
          <w:rFonts w:ascii="Times New Roman" w:hAnsi="Times New Roman" w:cs="Times New Roman"/>
        </w:rPr>
      </w:pPr>
      <w:r>
        <w:rPr>
          <w:rFonts w:cs="Times New Roman" w:ascii="Times New Roman" w:hAnsi="Times New Roman"/>
        </w:rPr>
        <w:t>B.</w:t>
        <w:tab/>
        <w:t xml:space="preserve">ECAR Capacity Mix </w:t>
      </w:r>
    </w:p>
    <w:p>
      <w:pPr>
        <w:pStyle w:val="A0b"/>
        <w:numPr>
          <w:ilvl w:val="0"/>
          <w:numId w:val="6"/>
        </w:numPr>
        <w:ind w:hanging="0" w:start="0"/>
        <w:rPr>
          <w:rFonts w:ascii="Times New Roman" w:hAnsi="Times New Roman" w:cs="Times New Roman"/>
        </w:rPr>
      </w:pPr>
      <w:r>
        <w:rPr>
          <w:rFonts w:cs="Times New Roman" w:ascii="Times New Roman" w:hAnsi="Times New Roman"/>
        </w:rPr>
        <w:t>ECAR is heavily dominated by coal with some nuclear generating capacity.  Combined coal and nuclear in 1997 accounted for 86% of total capacity and 95% of total generation.</w:t>
      </w:r>
    </w:p>
    <w:p>
      <w:pPr>
        <w:pStyle w:val="Sub0"/>
        <w:numPr>
          <w:ilvl w:val="0"/>
          <w:numId w:val="0"/>
        </w:numPr>
        <w:ind w:hanging="0" w:start="0" w:end="0"/>
        <w:outlineLvl w:val="0"/>
        <w:rPr/>
      </w:pPr>
      <w:r>
        <w:rPr/>
        <w:t>ECAR Capacity and Generation Mix – 2000</w:t>
      </w:r>
    </w:p>
    <w:tbl>
      <w:tblPr>
        <w:tblW w:w="9987" w:type="dxa"/>
        <w:jc w:val="start"/>
        <w:tblInd w:w="198" w:type="dxa"/>
        <w:tblLayout w:type="fixed"/>
        <w:tblCellMar>
          <w:top w:w="0" w:type="dxa"/>
          <w:start w:w="108" w:type="dxa"/>
          <w:bottom w:w="0" w:type="dxa"/>
          <w:end w:w="108" w:type="dxa"/>
        </w:tblCellMar>
      </w:tblPr>
      <w:tblGrid>
        <w:gridCol w:w="4853"/>
        <w:gridCol w:w="281"/>
        <w:gridCol w:w="4853"/>
      </w:tblGrid>
      <w:tr>
        <w:trPr/>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853" w:type="dxa"/>
            <w:tcBorders>
              <w:start w:val="single" w:sz="6" w:space="0" w:color="000000"/>
              <w:end w:val="single" w:sz="6" w:space="0" w:color="000000"/>
            </w:tcBorders>
          </w:tcPr>
          <w:p>
            <w:pPr>
              <w:pStyle w:val="Normal"/>
              <w:keepNext w:val="true"/>
              <w:rPr/>
            </w:pPr>
            <w:bookmarkStart w:id="29" w:name="_1020143483"/>
            <w:bookmarkStart w:id="30" w:name="_1020008369"/>
            <w:bookmarkStart w:id="31" w:name="_1020008330"/>
            <w:bookmarkEnd w:id="29"/>
            <w:bookmarkEnd w:id="30"/>
            <w:bookmarkEnd w:id="31"/>
            <w:r>
              <w:rPr>
                <w:sz w:val="16"/>
              </w:rPr>
              <w:object w:dxaOrig="4621" w:dyaOrig="3281">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31.05pt;height:164.05pt" filled="f" o:ole="">
                  <v:imagedata r:id="rId24" o:title=""/>
                </v:shape>
                <o:OLEObject Type="Embed" ProgID="" ShapeID="ole_rId23" DrawAspect="Content" ObjectID="_807690085" r:id="rId23"/>
              </w:object>
            </w:r>
            <w:hyperlink r:id="rId25">
              <w:r>
                <w:rPr>
                  <w:rStyle w:val="Hyperlink"/>
                  <w:vanish/>
                  <w:sz w:val="16"/>
                </w:rPr>
                <w:t>\\snyc14207\ProjFin\yellen\990920095.xls!ECAR Capacity 1997</w:t>
              </w:r>
            </w:hyperlink>
            <w:r>
              <w:rPr>
                <w:vanish/>
                <w:color w:val="FF0000"/>
                <w:sz w:val="16"/>
              </w:rPr>
              <w:t xml:space="preserve"> Height: 2.45" Width: 2.83"</w:t>
            </w:r>
          </w:p>
          <w:p>
            <w:pPr>
              <w:pStyle w:val="Normal"/>
              <w:rPr>
                <w:vanish/>
                <w:color w:val="FF0000"/>
                <w:sz w:val="16"/>
              </w:rPr>
            </w:pPr>
            <w:r>
              <w:rPr>
                <w:vanish/>
                <w:color w:val="FF0000"/>
                <w:sz w:val="16"/>
              </w:rPr>
            </w:r>
          </w:p>
        </w:tc>
        <w:tc>
          <w:tcPr>
            <w:tcW w:w="281" w:type="dxa"/>
            <w:tcBorders/>
          </w:tcPr>
          <w:p>
            <w:pPr>
              <w:pStyle w:val="Hidden"/>
              <w:snapToGrid w:val="false"/>
              <w:jc w:val="center"/>
              <w:rPr>
                <w:rFonts w:ascii="Times New Roman" w:hAnsi="Times New Roman" w:cs="Times New Roman"/>
                <w:vanish w:val="false"/>
              </w:rPr>
            </w:pPr>
            <w:r>
              <w:rPr>
                <w:rFonts w:cs="Times New Roman" w:ascii="Times New Roman" w:hAnsi="Times New Roman"/>
                <w:vanish w:val="false"/>
              </w:rPr>
            </w:r>
          </w:p>
        </w:tc>
        <w:tc>
          <w:tcPr>
            <w:tcW w:w="4853" w:type="dxa"/>
            <w:tcBorders>
              <w:start w:val="single" w:sz="6" w:space="0" w:color="000000"/>
              <w:end w:val="single" w:sz="6" w:space="0" w:color="000000"/>
            </w:tcBorders>
          </w:tcPr>
          <w:p>
            <w:pPr>
              <w:pStyle w:val="Normal"/>
              <w:keepNext w:val="true"/>
              <w:rPr/>
            </w:pPr>
            <w:hyperlink r:id="rId26">
              <w:r>
                <w:rPr>
                  <w:rStyle w:val="Hyperlink"/>
                  <w:vanish/>
                  <w:sz w:val="16"/>
                </w:rPr>
                <w:t>\\snyc14207\ProjFin\yellen\990920095.xls!ECAR Generation 1997</w:t>
              </w:r>
            </w:hyperlink>
            <w:r>
              <w:rPr>
                <w:vanish/>
                <w:color w:val="FF0000"/>
                <w:sz w:val="16"/>
              </w:rPr>
              <w:t xml:space="preserve"> Height: 2.32" Width: 2.55"</w:t>
            </w:r>
          </w:p>
          <w:p>
            <w:pPr>
              <w:pStyle w:val="Normal"/>
              <w:rPr/>
            </w:pPr>
            <w:bookmarkStart w:id="32" w:name="_1020014892"/>
            <w:bookmarkStart w:id="33" w:name="_1020008350"/>
            <w:bookmarkEnd w:id="32"/>
            <w:bookmarkEnd w:id="33"/>
            <w:r>
              <w:rPr/>
              <w:object w:dxaOrig="4621" w:dyaOrig="3141">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31.05pt;height:157.05pt" filled="f" o:ole="">
                  <v:imagedata r:id="rId28" o:title=""/>
                </v:shape>
                <o:OLEObject Type="Embed" ProgID="" ShapeID="ole_rId27" DrawAspect="Content" ObjectID="_895700422" r:id="rId27"/>
              </w:object>
            </w:r>
            <w:r>
              <w:rPr>
                <w:rStyle w:val="CommentReference"/>
                <w:vanish w:val="false"/>
              </w:rPr>
              <w:commentReference w:id="11"/>
            </w:r>
          </w:p>
        </w:tc>
      </w:tr>
      <w:tr>
        <w:trPr/>
        <w:tc>
          <w:tcPr>
            <w:tcW w:w="4853"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110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853"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Generation = 602 BkWh</w:t>
            </w:r>
          </w:p>
        </w:tc>
      </w:tr>
    </w:tbl>
    <w:p>
      <w:pPr>
        <w:pStyle w:val="Tnl0"/>
        <w:tabs>
          <w:tab w:val="left" w:pos="720" w:leader="none"/>
        </w:tabs>
        <w:spacing w:before="120" w:after="0"/>
        <w:ind w:hanging="634" w:end="0"/>
        <w:rPr/>
      </w:pPr>
      <w:r>
        <w:rPr>
          <w:rFonts w:cs="Times New Roman" w:ascii="Times New Roman" w:hAnsi="Times New Roman"/>
        </w:rPr>
        <w:t xml:space="preserve">Source: </w:t>
      </w:r>
      <w:r>
        <w:rPr>
          <w:rFonts w:cs="Times New Roman" w:ascii="Times New Roman" w:hAnsi="Times New Roman"/>
          <w:i w:val="false"/>
        </w:rPr>
        <w:t>ICF Base Case Forecast for the year 2000.</w:t>
      </w:r>
    </w:p>
    <w:p>
      <w:pPr>
        <w:pStyle w:val="Tnl0"/>
        <w:tabs>
          <w:tab w:val="left" w:pos="720" w:leader="none"/>
        </w:tabs>
        <w:ind w:hanging="454" w:start="540" w:end="0"/>
        <w:rPr/>
      </w:pPr>
      <w:r>
        <w:rPr>
          <w:rFonts w:cs="Times New Roman" w:ascii="Times New Roman" w:hAnsi="Times New Roman"/>
        </w:rPr>
        <w:t>Note:  Totals may not add due to rounding</w:t>
      </w:r>
      <w:r>
        <w:rPr>
          <w:rStyle w:val="CommentReference"/>
          <w:rFonts w:cs="Times New Roman" w:ascii="Times New Roman" w:hAnsi="Times New Roman"/>
          <w:vanish w:val="false"/>
        </w:rPr>
        <w:commentReference w:id="12"/>
      </w:r>
      <w:r>
        <w:rPr>
          <w:rStyle w:val="CommentReference"/>
          <w:rFonts w:cs="Times New Roman" w:ascii="Times New Roman" w:hAnsi="Times New Roman"/>
          <w:vanish/>
        </w:rPr>
        <w:t xml:space="preserve">er.. . </w:t>
      </w:r>
      <w:r>
        <w:rPr>
          <w:rFonts w:cs="Times New Roman" w:ascii="Times New Roman" w:hAnsi="Times New Roman"/>
        </w:rPr>
        <w:t xml:space="preserve"> errors. The difference between the total generation depicted in the pie chart and the Net Energy for load in the Table is due to net exports from ECAR</w:t>
      </w:r>
    </w:p>
    <w:p>
      <w:pPr>
        <w:pStyle w:val="Tnl0"/>
        <w:tabs>
          <w:tab w:val="left" w:pos="720" w:leader="none"/>
        </w:tabs>
        <w:ind w:hanging="634" w:end="0"/>
        <w:rPr>
          <w:rFonts w:ascii="Times New Roman" w:hAnsi="Times New Roman" w:cs="Times New Roman"/>
        </w:rPr>
      </w:pPr>
      <w:r>
        <w:rPr>
          <w:rFonts w:cs="Times New Roman" w:ascii="Times New Roman" w:hAnsi="Times New Roman"/>
        </w:rPr>
      </w:r>
    </w:p>
    <w:p>
      <w:pPr>
        <w:pStyle w:val="HdLet0"/>
        <w:numPr>
          <w:ilvl w:val="0"/>
          <w:numId w:val="0"/>
        </w:numPr>
        <w:ind w:firstLine="720" w:start="0" w:end="0"/>
        <w:outlineLvl w:val="0"/>
        <w:rPr>
          <w:rFonts w:ascii="Times New Roman" w:hAnsi="Times New Roman" w:cs="Times New Roman"/>
        </w:rPr>
      </w:pPr>
      <w:r>
        <w:rPr>
          <w:rFonts w:cs="Times New Roman" w:ascii="Times New Roman" w:hAnsi="Times New Roman"/>
        </w:rPr>
        <w:t>C.</w:t>
        <w:tab/>
        <w:t>ECAR Transmission Overview</w:t>
      </w:r>
    </w:p>
    <w:p>
      <w:pPr>
        <w:pStyle w:val="A0"/>
        <w:keepNext w:val="true"/>
        <w:rPr>
          <w:rFonts w:ascii="Times New Roman" w:hAnsi="Times New Roman" w:cs="Times New Roman"/>
        </w:rPr>
      </w:pPr>
      <w:r>
        <w:rPr>
          <w:rFonts w:cs="Times New Roman" w:ascii="Times New Roman" w:hAnsi="Times New Roman"/>
        </w:rPr>
        <w:t>While there is considerable transmission capability within ECAR, the connections with the rest of the Northeast are somewhat limited.</w:t>
      </w:r>
    </w:p>
    <w:p>
      <w:pPr>
        <w:pStyle w:val="A0"/>
        <w:keepNext w:val="true"/>
        <w:keepLines/>
        <w:numPr>
          <w:ilvl w:val="0"/>
          <w:numId w:val="0"/>
        </w:numPr>
        <w:ind w:hanging="0" w:start="1440"/>
        <w:outlineLvl w:val="0"/>
        <w:rPr>
          <w:rFonts w:ascii="Times New Roman" w:hAnsi="Times New Roman" w:cs="Times New Roman"/>
          <w:b/>
        </w:rPr>
      </w:pPr>
      <w:r>
        <w:rPr>
          <w:rFonts w:cs="Times New Roman" w:ascii="Times New Roman" w:hAnsi="Times New Roman"/>
          <w:b/>
        </w:rPr>
        <w:t>Inter-Regional Transmission</w:t>
      </w:r>
    </w:p>
    <w:p>
      <w:pPr>
        <w:pStyle w:val="A0"/>
        <w:keepNext w:val="true"/>
        <w:rPr>
          <w:rFonts w:ascii="Times New Roman" w:hAnsi="Times New Roman" w:cs="Times New Roman"/>
        </w:rPr>
      </w:pPr>
      <w:r>
        <w:rPr>
          <w:rFonts w:cs="Times New Roman" w:ascii="Times New Roman" w:hAnsi="Times New Roman"/>
        </w:rPr>
        <w:t>The primary interconnections between ECAR and neighboring systems consist of:</w:t>
      </w:r>
    </w:p>
    <w:p>
      <w:pPr>
        <w:pStyle w:val="B0bbox"/>
        <w:numPr>
          <w:ilvl w:val="0"/>
          <w:numId w:val="10"/>
        </w:numPr>
        <w:rPr>
          <w:rFonts w:ascii="Times New Roman" w:hAnsi="Times New Roman" w:cs="Times New Roman"/>
        </w:rPr>
      </w:pPr>
      <w:r>
        <w:rPr>
          <w:rFonts w:cs="Times New Roman" w:ascii="Times New Roman" w:hAnsi="Times New Roman"/>
        </w:rPr>
        <w:t>Two 500 kV interconnections in southwestern PJM with APS in ECAR.</w:t>
      </w:r>
    </w:p>
    <w:p>
      <w:pPr>
        <w:pStyle w:val="B0bbox"/>
        <w:numPr>
          <w:ilvl w:val="0"/>
          <w:numId w:val="10"/>
        </w:numPr>
        <w:rPr>
          <w:rFonts w:ascii="Times New Roman" w:hAnsi="Times New Roman" w:cs="Times New Roman"/>
        </w:rPr>
      </w:pPr>
      <w:r>
        <w:rPr>
          <w:rFonts w:cs="Times New Roman" w:ascii="Times New Roman" w:hAnsi="Times New Roman"/>
        </w:rPr>
        <w:t>Two 345 kV interconnections in northwestern PJM with Centerior in ECAR.</w:t>
      </w:r>
    </w:p>
    <w:p>
      <w:pPr>
        <w:pStyle w:val="B0bbox"/>
        <w:numPr>
          <w:ilvl w:val="0"/>
          <w:numId w:val="10"/>
        </w:numPr>
        <w:rPr>
          <w:rFonts w:ascii="Times New Roman" w:hAnsi="Times New Roman" w:cs="Times New Roman"/>
        </w:rPr>
      </w:pPr>
      <w:r>
        <w:rPr>
          <w:rFonts w:cs="Times New Roman" w:ascii="Times New Roman" w:hAnsi="Times New Roman"/>
        </w:rPr>
        <w:t>Two 345 kV interconnections with Ontario in MECS.</w:t>
      </w:r>
    </w:p>
    <w:p>
      <w:pPr>
        <w:pStyle w:val="B0bbox"/>
        <w:numPr>
          <w:ilvl w:val="0"/>
          <w:numId w:val="10"/>
        </w:numPr>
        <w:rPr>
          <w:rFonts w:ascii="Times New Roman" w:hAnsi="Times New Roman" w:cs="Times New Roman"/>
        </w:rPr>
      </w:pPr>
      <w:r>
        <w:rPr>
          <w:rFonts w:cs="Times New Roman" w:ascii="Times New Roman" w:hAnsi="Times New Roman"/>
        </w:rPr>
        <w:t>Four 500 kV interconnections with VEPCO and one 500 kV interconnection with Duke in VACAR.</w:t>
      </w:r>
    </w:p>
    <w:p>
      <w:pPr>
        <w:pStyle w:val="B0bbox"/>
        <w:numPr>
          <w:ilvl w:val="0"/>
          <w:numId w:val="10"/>
        </w:numPr>
        <w:rPr>
          <w:rFonts w:ascii="Times New Roman" w:hAnsi="Times New Roman" w:cs="Times New Roman"/>
        </w:rPr>
      </w:pPr>
      <w:r>
        <w:rPr>
          <w:rFonts w:cs="Times New Roman" w:ascii="Times New Roman" w:hAnsi="Times New Roman"/>
        </w:rPr>
        <w:t>Two 500 kV interconnections with TVA.</w:t>
      </w:r>
    </w:p>
    <w:p>
      <w:pPr>
        <w:pStyle w:val="B0bbox"/>
        <w:numPr>
          <w:ilvl w:val="0"/>
          <w:numId w:val="10"/>
        </w:numPr>
        <w:rPr>
          <w:rFonts w:ascii="Times New Roman" w:hAnsi="Times New Roman" w:cs="Times New Roman"/>
        </w:rPr>
      </w:pPr>
      <w:r>
        <w:rPr>
          <w:rFonts w:cs="Times New Roman" w:ascii="Times New Roman" w:hAnsi="Times New Roman"/>
        </w:rPr>
        <w:t>One 765 kV and several 345 kV interconnections with MAIN (primarily at Commonwealth Edison).</w:t>
      </w:r>
    </w:p>
    <w:p>
      <w:pPr>
        <w:pStyle w:val="A0"/>
        <w:keepNext w:val="true"/>
        <w:numPr>
          <w:ilvl w:val="0"/>
          <w:numId w:val="0"/>
        </w:numPr>
        <w:ind w:hanging="0" w:start="1440"/>
        <w:outlineLvl w:val="0"/>
        <w:rPr>
          <w:rFonts w:ascii="Times New Roman" w:hAnsi="Times New Roman" w:cs="Times New Roman"/>
          <w:b/>
        </w:rPr>
      </w:pPr>
      <w:r>
        <w:object w:dxaOrig="14400" w:dyaOrig="1080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position:absolute;margin-left:57.6pt;margin-top:22.2pt;width:359.25pt;height:211.7pt;mso-wrap-distance-left:9.05pt;mso-wrap-distance-right:9.05pt;mso-position-horizontal-relative:text;mso-position-vertical-relative:text" filled="f" o:ole="">
            <v:imagedata r:id="rId30" o:title=""/>
            <w10:wrap type="topAndBottom"/>
          </v:shape>
          <o:OLEObject Type="Embed" ProgID="PowerPoint.Show.12" ShapeID="ole_rId29" DrawAspect="Content" ObjectID="_1101902044" r:id="rId29"/>
        </w:object>
      </w:r>
      <w:r>
        <w:rPr>
          <w:rFonts w:cs="Times New Roman" w:ascii="Times New Roman" w:hAnsi="Times New Roman"/>
          <w:b/>
        </w:rPr>
        <w:t>Intra-Regional Transmission</w:t>
      </w:r>
    </w:p>
    <w:p>
      <w:pPr>
        <w:pStyle w:val="A0"/>
        <w:keepNext w:val="true"/>
        <w:rPr>
          <w:rFonts w:ascii="Times New Roman" w:hAnsi="Times New Roman" w:cs="Times New Roman"/>
          <w:b/>
          <w:vanish/>
          <w:color w:val="FF0000"/>
          <w:sz w:val="18"/>
        </w:rPr>
      </w:pPr>
      <w:bookmarkStart w:id="34" w:name="scanmap2"/>
      <w:bookmarkEnd w:id="34"/>
      <w:r>
        <w:rPr>
          <w:rFonts w:cs="Times New Roman" w:ascii="Times New Roman" w:hAnsi="Times New Roman"/>
          <w:b/>
          <w:vanish/>
          <w:color w:val="FF0000"/>
          <w:sz w:val="18"/>
        </w:rPr>
        <w:t>K:\Adobe\tif-April\scanmap.tif</w:t>
      </w:r>
    </w:p>
    <w:p>
      <w:pPr>
        <w:pStyle w:val="Normal"/>
        <w:ind w:start="1440" w:end="0"/>
        <w:rPr>
          <w:rFonts w:ascii="Times New Roman" w:hAnsi="Times New Roman" w:cs="Times New Roman"/>
          <w:b/>
          <w:vanish/>
          <w:color w:val="FF0000"/>
          <w:sz w:val="18"/>
        </w:rPr>
      </w:pPr>
      <w:r>
        <w:rPr>
          <w:rFonts w:cs="Times New Roman"/>
          <w:b/>
          <w:vanish/>
          <w:color w:val="FF0000"/>
          <w:sz w:val="18"/>
        </w:rPr>
      </w:r>
    </w:p>
    <w:p>
      <w:pPr>
        <w:pStyle w:val="A0b"/>
        <w:numPr>
          <w:ilvl w:val="0"/>
          <w:numId w:val="6"/>
        </w:numPr>
        <w:ind w:hanging="0" w:start="0"/>
        <w:rPr>
          <w:rFonts w:ascii="Times New Roman" w:hAnsi="Times New Roman" w:cs="Times New Roman"/>
        </w:rPr>
      </w:pPr>
      <w:r>
        <w:rPr>
          <w:rFonts w:cs="Times New Roman" w:ascii="Times New Roman" w:hAnsi="Times New Roman"/>
        </w:rPr>
        <w:t>Southern ECAR has extensive transmission interconnections including AEP's 765 kV line, the largest in the U.S.  MECS is well integrated on an internal basis but is not connected with AEP's 765 kV line.</w:t>
      </w:r>
    </w:p>
    <w:p>
      <w:pPr>
        <w:pStyle w:val="Normal"/>
        <w:ind w:start="1440" w:end="0"/>
        <w:rPr>
          <w:rFonts w:ascii="Times New Roman" w:hAnsi="Times New Roman" w:cs="Times New Roman"/>
        </w:rPr>
      </w:pPr>
      <w:r>
        <w:rPr>
          <w:rFonts w:cs="Times New Roman"/>
        </w:rPr>
      </w:r>
    </w:p>
    <w:p>
      <w:pPr>
        <w:pStyle w:val="Normal"/>
        <w:ind w:start="1440" w:end="0"/>
        <w:rPr/>
      </w:pPr>
      <w:r>
        <w:rPr/>
      </w:r>
    </w:p>
    <w:p>
      <w:pPr>
        <w:pStyle w:val="Normal"/>
        <w:ind w:start="1440" w:end="0"/>
        <w:rPr/>
      </w:pPr>
      <w:r>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ECAR Historical Prices</w:t>
      </w:r>
    </w:p>
    <w:p>
      <w:pPr>
        <w:pStyle w:val="A0b"/>
        <w:numPr>
          <w:ilvl w:val="0"/>
          <w:numId w:val="6"/>
        </w:numPr>
        <w:ind w:hanging="0" w:start="0"/>
        <w:rPr>
          <w:rFonts w:ascii="Times New Roman" w:hAnsi="Times New Roman" w:cs="Times New Roman"/>
        </w:rPr>
      </w:pPr>
      <w:r>
        <w:rPr>
          <w:rFonts w:cs="Times New Roman" w:ascii="Times New Roman" w:hAnsi="Times New Roman"/>
        </w:rPr>
        <w:t>Electrical energy prices in ECAR have historically been lower than neighboring regions to the East, especially the Northeast, but higher than MAPP and MAIN.</w:t>
      </w:r>
    </w:p>
    <w:p>
      <w:pPr>
        <w:pStyle w:val="B0bbox"/>
        <w:numPr>
          <w:ilvl w:val="0"/>
          <w:numId w:val="10"/>
        </w:numPr>
        <w:rPr>
          <w:rFonts w:ascii="Times New Roman" w:hAnsi="Times New Roman" w:cs="Times New Roman"/>
        </w:rPr>
      </w:pPr>
      <w:r>
        <w:rPr>
          <w:rFonts w:cs="Times New Roman" w:ascii="Times New Roman" w:hAnsi="Times New Roman"/>
        </w:rPr>
        <w:t>While ECAR has significant coal capacity as part of its supply mix, delivered coal costs in this region are higher than in MAIN and MAPP.  Due to ECAR’s geographic location, ECAR has relatively easy access to high cost Appalachian coal but is fairly remote from the cheaper Powder River Basin coals, which adds to delivered cost due to transportation.</w:t>
      </w:r>
    </w:p>
    <w:p>
      <w:pPr>
        <w:pStyle w:val="B0bbox"/>
        <w:numPr>
          <w:ilvl w:val="0"/>
          <w:numId w:val="0"/>
        </w:numPr>
        <w:spacing w:before="0" w:after="0"/>
        <w:ind w:hanging="0" w:start="0"/>
        <w:rPr>
          <w:rFonts w:ascii="Times New Roman" w:hAnsi="Times New Roman" w:cs="Times New Roman"/>
        </w:rPr>
      </w:pPr>
      <w:r>
        <w:rPr>
          <w:rFonts w:cs="Times New Roman" w:ascii="Times New Roman" w:hAnsi="Times New Roman"/>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1003"/>
        <w:gridCol w:w="5"/>
      </w:tblGrid>
      <w:tr>
        <w:trPr/>
        <w:tc>
          <w:tcPr>
            <w:tcW w:w="7137" w:type="dxa"/>
            <w:gridSpan w:val="5"/>
            <w:tcBorders/>
          </w:tcPr>
          <w:p>
            <w:pPr>
              <w:pStyle w:val="Ttel1"/>
              <w:keepNext w:val="true"/>
              <w:spacing w:before="0" w:after="0"/>
              <w:rPr>
                <w:rFonts w:ascii="Times New Roman" w:hAnsi="Times New Roman" w:cs="Times New Roman"/>
                <w:b w:val="false"/>
                <w:i/>
                <w:i/>
                <w:sz w:val="24"/>
              </w:rPr>
            </w:pPr>
            <w:r>
              <w:rPr>
                <w:rFonts w:cs="Times New Roman" w:ascii="Times New Roman" w:hAnsi="Times New Roman"/>
                <w:sz w:val="24"/>
              </w:rPr>
              <w:t xml:space="preserve">ECAR Historical Energy Prices </w:t>
              <w:br/>
            </w:r>
            <w:r>
              <w:rPr>
                <w:rFonts w:cs="Times New Roman" w:ascii="Times New Roman" w:hAnsi="Times New Roman"/>
                <w:i/>
                <w:sz w:val="24"/>
              </w:rPr>
              <w:t>(1998$/MWh)</w:t>
            </w:r>
          </w:p>
        </w:tc>
      </w:tr>
      <w:tr>
        <w:trPr/>
        <w:tc>
          <w:tcPr>
            <w:tcW w:w="3110" w:type="dxa"/>
            <w:tcBorders>
              <w:top w:val="single" w:sz="18" w:space="0" w:color="000000"/>
            </w:tcBorders>
            <w:vAlign w:val="bottom"/>
          </w:tcPr>
          <w:p>
            <w:pPr>
              <w:pStyle w:val="TableHeadings"/>
              <w:keepNext w:val="true"/>
              <w:snapToGrid w:val="false"/>
              <w:spacing w:before="36" w:after="36"/>
              <w:rPr>
                <w:rFonts w:ascii="Times New Roman" w:hAnsi="Times New Roman" w:cs="Times New Roman"/>
                <w:b/>
                <w:i/>
                <w:i/>
                <w:sz w:val="24"/>
              </w:rPr>
            </w:pPr>
            <w:r>
              <w:rPr>
                <w:rFonts w:cs="Times New Roman" w:ascii="Times New Roman" w:hAnsi="Times New Roman"/>
                <w:b/>
                <w:i/>
                <w:sz w:val="24"/>
              </w:rPr>
            </w:r>
          </w:p>
        </w:tc>
        <w:tc>
          <w:tcPr>
            <w:tcW w:w="4032" w:type="dxa"/>
            <w:gridSpan w:val="4"/>
            <w:tcBorders>
              <w:top w:val="single" w:sz="18" w:space="0" w:color="000000"/>
            </w:tcBorders>
            <w:vAlign w:val="bottom"/>
          </w:tcPr>
          <w:p>
            <w:pPr>
              <w:pStyle w:val="TableHeadings"/>
              <w:keepNext w:val="true"/>
              <w:pBdr>
                <w:bottom w:val="single" w:sz="4" w:space="1" w:color="000000"/>
              </w:pBdr>
              <w:spacing w:before="36" w:after="36"/>
              <w:ind w:start="288" w:end="288"/>
              <w:rPr>
                <w:rFonts w:ascii="Times New Roman" w:hAnsi="Times New Roman" w:cs="Times New Roman"/>
              </w:rPr>
            </w:pPr>
            <w:r>
              <w:rPr>
                <w:rFonts w:cs="Times New Roman" w:ascii="Times New Roman" w:hAnsi="Times New Roman"/>
              </w:rPr>
              <w:t>Historical</w:t>
            </w:r>
          </w:p>
        </w:tc>
      </w:tr>
      <w:tr>
        <w:trPr/>
        <w:tc>
          <w:tcPr>
            <w:tcW w:w="3110" w:type="dxa"/>
            <w:tcBorders>
              <w:bottom w:val="single" w:sz="4" w:space="0" w:color="000000"/>
            </w:tcBorders>
            <w:vAlign w:val="bottom"/>
          </w:tcPr>
          <w:p>
            <w:pPr>
              <w:pStyle w:val="Normal"/>
              <w:keepNext w:val="true"/>
              <w:snapToGrid w:val="false"/>
              <w:spacing w:before="36" w:after="36"/>
              <w:rPr>
                <w:rFonts w:ascii="Times New Roman" w:hAnsi="Times New Roman" w:cs="Times New Roman"/>
                <w:caps/>
                <w:sz w:val="16"/>
              </w:rPr>
            </w:pPr>
            <w:r>
              <w:rPr>
                <w:rFonts w:cs="Times New Roman"/>
                <w:caps/>
                <w:sz w:val="16"/>
              </w:rPr>
            </w:r>
          </w:p>
        </w:tc>
        <w:tc>
          <w:tcPr>
            <w:tcW w:w="1008" w:type="dxa"/>
            <w:tcBorders>
              <w:bottom w:val="single" w:sz="4" w:space="0" w:color="000000"/>
            </w:tcBorders>
            <w:vAlign w:val="bottom"/>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65"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 Northern ECAR</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23.5</w:t>
            </w:r>
          </w:p>
        </w:tc>
        <w:tc>
          <w:tcPr>
            <w:tcW w:w="1008" w:type="dxa"/>
            <w:tcBorders/>
          </w:tcPr>
          <w:p>
            <w:pPr>
              <w:pStyle w:val="Normal"/>
              <w:keepNext w:val="true"/>
              <w:tabs>
                <w:tab w:val="clear" w:pos="720"/>
                <w:tab w:val="decimal" w:pos="619" w:leader="none"/>
              </w:tabs>
              <w:spacing w:before="36" w:after="36"/>
              <w:rPr/>
            </w:pPr>
            <w:r>
              <w:rPr/>
              <w:t>24.8</w:t>
            </w:r>
          </w:p>
        </w:tc>
        <w:tc>
          <w:tcPr>
            <w:tcW w:w="1008" w:type="dxa"/>
            <w:tcBorders/>
          </w:tcPr>
          <w:p>
            <w:pPr>
              <w:pStyle w:val="Normal"/>
              <w:keepNext w:val="true"/>
              <w:tabs>
                <w:tab w:val="clear" w:pos="720"/>
                <w:tab w:val="decimal" w:pos="619" w:leader="none"/>
              </w:tabs>
              <w:spacing w:before="36" w:after="36"/>
              <w:rPr/>
            </w:pPr>
            <w:r>
              <w:rPr/>
              <w:t>56.3</w:t>
            </w:r>
          </w:p>
        </w:tc>
        <w:tc>
          <w:tcPr>
            <w:tcW w:w="1008" w:type="dxa"/>
            <w:tcBorders/>
          </w:tcPr>
          <w:p>
            <w:pPr>
              <w:pStyle w:val="Normal"/>
              <w:keepNext w:val="true"/>
              <w:tabs>
                <w:tab w:val="clear" w:pos="720"/>
                <w:tab w:val="decimal" w:pos="619" w:leader="none"/>
              </w:tabs>
              <w:spacing w:before="36" w:after="36"/>
              <w:rPr/>
            </w:pPr>
            <w:r>
              <w:rPr/>
              <w:t>43.5</w:t>
            </w:r>
          </w:p>
        </w:tc>
      </w:tr>
      <w:tr>
        <w:trPr>
          <w:trHeight w:val="465" w:hRule="atLeast"/>
        </w:trPr>
        <w:tc>
          <w:tcPr>
            <w:tcW w:w="3110" w:type="dxa"/>
            <w:tcBorders/>
          </w:tcPr>
          <w:p>
            <w:pPr>
              <w:pStyle w:val="Normal"/>
              <w:keepNext w:val="true"/>
              <w:spacing w:before="36" w:after="36"/>
              <w:ind w:start="360" w:end="0"/>
              <w:rPr/>
            </w:pPr>
            <w:r>
              <w:rPr/>
              <w:t>High</w:t>
            </w:r>
          </w:p>
        </w:tc>
        <w:tc>
          <w:tcPr>
            <w:tcW w:w="1008" w:type="dxa"/>
            <w:tcBorders/>
          </w:tcPr>
          <w:p>
            <w:pPr>
              <w:pStyle w:val="Normal"/>
              <w:keepNext w:val="true"/>
              <w:tabs>
                <w:tab w:val="clear" w:pos="720"/>
                <w:tab w:val="decimal" w:pos="619" w:leader="none"/>
              </w:tabs>
              <w:spacing w:before="36" w:after="36"/>
              <w:rPr/>
            </w:pPr>
            <w:r>
              <w:rPr/>
              <w:t>40.3</w:t>
            </w:r>
          </w:p>
        </w:tc>
        <w:tc>
          <w:tcPr>
            <w:tcW w:w="1008" w:type="dxa"/>
            <w:tcBorders/>
          </w:tcPr>
          <w:p>
            <w:pPr>
              <w:pStyle w:val="Normal"/>
              <w:keepNext w:val="true"/>
              <w:tabs>
                <w:tab w:val="clear" w:pos="720"/>
                <w:tab w:val="decimal" w:pos="619" w:leader="none"/>
              </w:tabs>
              <w:spacing w:before="36" w:after="36"/>
              <w:rPr/>
            </w:pPr>
            <w:r>
              <w:rPr/>
              <w:t>139.8</w:t>
            </w:r>
          </w:p>
        </w:tc>
        <w:tc>
          <w:tcPr>
            <w:tcW w:w="1008" w:type="dxa"/>
            <w:tcBorders/>
          </w:tcPr>
          <w:p>
            <w:pPr>
              <w:pStyle w:val="Normal"/>
              <w:keepNext w:val="true"/>
              <w:tabs>
                <w:tab w:val="clear" w:pos="720"/>
                <w:tab w:val="decimal" w:pos="619" w:leader="none"/>
              </w:tabs>
              <w:spacing w:before="36" w:after="36"/>
              <w:rPr/>
            </w:pPr>
            <w:r>
              <w:rPr/>
              <w:t>656.0</w:t>
            </w:r>
          </w:p>
        </w:tc>
        <w:tc>
          <w:tcPr>
            <w:tcW w:w="1008" w:type="dxa"/>
            <w:tcBorders/>
          </w:tcPr>
          <w:p>
            <w:pPr>
              <w:pStyle w:val="Normal"/>
              <w:keepNext w:val="true"/>
              <w:tabs>
                <w:tab w:val="clear" w:pos="720"/>
                <w:tab w:val="decimal" w:pos="619" w:leader="none"/>
              </w:tabs>
              <w:spacing w:before="36" w:after="36"/>
              <w:rPr/>
            </w:pPr>
            <w:r>
              <w:rPr/>
              <w:t>609.2</w:t>
            </w:r>
          </w:p>
        </w:tc>
      </w:tr>
      <w:tr>
        <w:trPr>
          <w:trHeight w:val="465" w:hRule="atLeast"/>
        </w:trPr>
        <w:tc>
          <w:tcPr>
            <w:tcW w:w="3110" w:type="dxa"/>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tcPr>
          <w:p>
            <w:pPr>
              <w:pStyle w:val="Normal"/>
              <w:keepNext w:val="true"/>
              <w:tabs>
                <w:tab w:val="clear" w:pos="720"/>
                <w:tab w:val="decimal" w:pos="619" w:leader="none"/>
              </w:tabs>
              <w:spacing w:before="36" w:after="36"/>
              <w:rPr/>
            </w:pPr>
            <w:r>
              <w:rPr/>
              <w:t>27.3</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146.1</w:t>
            </w:r>
          </w:p>
        </w:tc>
        <w:tc>
          <w:tcPr>
            <w:tcW w:w="1008" w:type="dxa"/>
            <w:tcBorders/>
          </w:tcPr>
          <w:p>
            <w:pPr>
              <w:pStyle w:val="Normal"/>
              <w:keepNext w:val="true"/>
              <w:tabs>
                <w:tab w:val="clear" w:pos="720"/>
                <w:tab w:val="decimal" w:pos="619" w:leader="none"/>
              </w:tabs>
              <w:spacing w:before="36" w:after="36"/>
              <w:rPr/>
            </w:pPr>
            <w:r>
              <w:rPr/>
              <w:t>108.2</w:t>
            </w:r>
          </w:p>
        </w:tc>
      </w:tr>
      <w:tr>
        <w:trPr>
          <w:trHeight w:val="465"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PMW–Into Cinergy</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74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24.5</w:t>
            </w:r>
          </w:p>
        </w:tc>
        <w:tc>
          <w:tcPr>
            <w:tcW w:w="1008" w:type="dxa"/>
            <w:tcBorders/>
          </w:tcPr>
          <w:p>
            <w:pPr>
              <w:pStyle w:val="Normal"/>
              <w:keepNext w:val="true"/>
              <w:tabs>
                <w:tab w:val="clear" w:pos="720"/>
                <w:tab w:val="decimal" w:pos="619" w:leader="none"/>
              </w:tabs>
              <w:spacing w:before="36" w:after="36"/>
              <w:rPr/>
            </w:pPr>
            <w:r>
              <w:rPr/>
              <w:t>56.4</w:t>
            </w:r>
          </w:p>
        </w:tc>
        <w:tc>
          <w:tcPr>
            <w:tcW w:w="1008" w:type="dxa"/>
            <w:tcBorders/>
          </w:tcPr>
          <w:p>
            <w:pPr>
              <w:pStyle w:val="Normal"/>
              <w:keepNext w:val="true"/>
              <w:tabs>
                <w:tab w:val="clear" w:pos="720"/>
                <w:tab w:val="decimal" w:pos="619" w:leader="none"/>
              </w:tabs>
              <w:spacing w:before="36" w:after="36"/>
              <w:rPr/>
            </w:pPr>
            <w:r>
              <w:rPr/>
              <w:t>50.5</w:t>
            </w:r>
          </w:p>
        </w:tc>
      </w:tr>
      <w:tr>
        <w:trPr>
          <w:trHeight w:val="465" w:hRule="atLeast"/>
        </w:trPr>
        <w:tc>
          <w:tcPr>
            <w:tcW w:w="3110" w:type="dxa"/>
            <w:tcBorders/>
          </w:tcPr>
          <w:p>
            <w:pPr>
              <w:pStyle w:val="Normal"/>
              <w:keepNext w:val="true"/>
              <w:spacing w:before="36" w:after="216"/>
              <w:ind w:start="360" w:end="0"/>
              <w:rPr/>
            </w:pPr>
            <w:r>
              <w:rPr/>
              <w:t>High</w:t>
            </w:r>
          </w:p>
        </w:tc>
        <w:tc>
          <w:tcPr>
            <w:tcW w:w="1008" w:type="dxa"/>
            <w:tcBorders/>
          </w:tcPr>
          <w:p>
            <w:pPr>
              <w:pStyle w:val="T0"/>
              <w:keepNext w:val="true"/>
              <w:tabs>
                <w:tab w:val="clear" w:pos="720"/>
                <w:tab w:val="decimal" w:pos="742" w:leader="none"/>
              </w:tabs>
              <w:spacing w:before="36" w:after="21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216"/>
              <w:rPr/>
            </w:pPr>
            <w:r>
              <w:rPr/>
              <w:t>138.4</w:t>
            </w:r>
          </w:p>
        </w:tc>
        <w:tc>
          <w:tcPr>
            <w:tcW w:w="1008" w:type="dxa"/>
            <w:tcBorders/>
          </w:tcPr>
          <w:p>
            <w:pPr>
              <w:pStyle w:val="Normal"/>
              <w:keepNext w:val="true"/>
              <w:tabs>
                <w:tab w:val="clear" w:pos="720"/>
                <w:tab w:val="decimal" w:pos="619" w:leader="none"/>
              </w:tabs>
              <w:spacing w:before="36" w:after="216"/>
              <w:rPr/>
            </w:pPr>
            <w:r>
              <w:rPr/>
              <w:t>656.0</w:t>
            </w:r>
          </w:p>
        </w:tc>
        <w:tc>
          <w:tcPr>
            <w:tcW w:w="1008" w:type="dxa"/>
            <w:tcBorders/>
          </w:tcPr>
          <w:p>
            <w:pPr>
              <w:pStyle w:val="Normal"/>
              <w:keepNext w:val="true"/>
              <w:tabs>
                <w:tab w:val="clear" w:pos="720"/>
                <w:tab w:val="decimal" w:pos="619" w:leader="none"/>
              </w:tabs>
              <w:spacing w:before="36" w:after="216"/>
              <w:rPr/>
            </w:pPr>
            <w:r>
              <w:rPr/>
              <w:t>988.7</w:t>
            </w:r>
          </w:p>
        </w:tc>
      </w:tr>
      <w:tr>
        <w:trPr>
          <w:trHeight w:val="465" w:hRule="atLeast"/>
        </w:trPr>
        <w:tc>
          <w:tcPr>
            <w:tcW w:w="3110" w:type="dxa"/>
            <w:tcBorders>
              <w:bottom w:val="single" w:sz="4" w:space="0" w:color="000000"/>
            </w:tcBorders>
          </w:tcPr>
          <w:p>
            <w:pPr>
              <w:pStyle w:val="Normal"/>
              <w:keepNext w:val="true"/>
              <w:spacing w:before="36" w:after="216"/>
              <w:ind w:start="360" w:end="0"/>
              <w:rPr/>
            </w:pPr>
            <w:r>
              <w:rPr/>
              <w:t>Average Summer</w:t>
            </w:r>
            <w:r>
              <w:rPr>
                <w:vertAlign w:val="superscript"/>
              </w:rPr>
              <w:t>2</w:t>
            </w:r>
            <w:r>
              <w:rPr/>
              <w:t xml:space="preserve"> Peak</w:t>
            </w:r>
            <w:r>
              <w:rPr>
                <w:rStyle w:val="CommentReference"/>
                <w:vanish w:val="false"/>
              </w:rPr>
              <w:commentReference w:id="13"/>
            </w:r>
          </w:p>
        </w:tc>
        <w:tc>
          <w:tcPr>
            <w:tcW w:w="1008" w:type="dxa"/>
            <w:tcBorders>
              <w:bottom w:val="single" w:sz="4" w:space="0" w:color="000000"/>
            </w:tcBorders>
          </w:tcPr>
          <w:p>
            <w:pPr>
              <w:pStyle w:val="T0"/>
              <w:keepNext w:val="true"/>
              <w:tabs>
                <w:tab w:val="clear" w:pos="720"/>
                <w:tab w:val="decimal" w:pos="742" w:leader="none"/>
              </w:tabs>
              <w:spacing w:before="36" w:after="216"/>
              <w:rPr>
                <w:rFonts w:ascii="Times New Roman" w:hAnsi="Times New Roman" w:cs="Times New Roman"/>
              </w:rPr>
            </w:pPr>
            <w:r>
              <w:rPr>
                <w:rFonts w:cs="Times New Roman" w:ascii="Times New Roman" w:hAnsi="Times New Roman"/>
              </w:rPr>
              <w:t>NA</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37.0</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146.1</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139.0</w:t>
            </w:r>
          </w:p>
        </w:tc>
      </w:tr>
    </w:tbl>
    <w:p>
      <w:pPr>
        <w:pStyle w:val="Caption"/>
        <w:numPr>
          <w:ilvl w:val="0"/>
          <w:numId w:val="0"/>
        </w:numPr>
        <w:ind w:hanging="360" w:start="360" w:end="0"/>
        <w:rPr/>
      </w:pPr>
      <w:bookmarkStart w:id="35" w:name="scanchart2"/>
      <w:bookmarkEnd w:id="35"/>
      <w:r>
        <w:rPr>
          <w:rFonts w:cs="Times New Roman" w:ascii="Times New Roman" w:hAnsi="Times New Roman"/>
        </w:rPr>
        <w:tab/>
        <w:tab/>
        <w:tab/>
      </w:r>
      <w:r>
        <w:rPr>
          <w:rFonts w:cs="Times New Roman" w:ascii="Times New Roman" w:hAnsi="Times New Roman"/>
          <w:vertAlign w:val="superscript"/>
        </w:rPr>
        <w:t xml:space="preserve">1 </w:t>
      </w:r>
      <w:r>
        <w:rPr>
          <w:rFonts w:cs="Times New Roman" w:ascii="Times New Roman" w:hAnsi="Times New Roman"/>
        </w:rPr>
        <w:t>Includes weekday hours 6 through 22.</w:t>
      </w:r>
    </w:p>
    <w:p>
      <w:pPr>
        <w:pStyle w:val="Caption"/>
        <w:numPr>
          <w:ilvl w:val="0"/>
          <w:numId w:val="0"/>
        </w:numPr>
        <w:ind w:hanging="360" w:start="360" w:end="0"/>
        <w:rPr/>
      </w:pPr>
      <w:r>
        <w:rPr>
          <w:rFonts w:cs="Times New Roman" w:ascii="Times New Roman" w:hAnsi="Times New Roman"/>
        </w:rPr>
        <w:tab/>
        <w:tab/>
        <w:tab/>
      </w:r>
      <w:r>
        <w:rPr>
          <w:rFonts w:cs="Times New Roman" w:ascii="Times New Roman" w:hAnsi="Times New Roman"/>
          <w:vertAlign w:val="superscript"/>
        </w:rPr>
        <w:t>2</w:t>
      </w:r>
      <w:r>
        <w:rPr>
          <w:rFonts w:cs="Times New Roman" w:ascii="Times New Roman" w:hAnsi="Times New Roman"/>
        </w:rPr>
        <w:t xml:space="preserve"> Includes June, July and August.</w:t>
      </w:r>
    </w:p>
    <w:p>
      <w:pPr>
        <w:pStyle w:val="Caption"/>
        <w:numPr>
          <w:ilvl w:val="0"/>
          <w:numId w:val="0"/>
        </w:numPr>
        <w:ind w:hanging="360" w:start="360" w:end="0"/>
        <w:rPr>
          <w:rFonts w:ascii="Times New Roman" w:hAnsi="Times New Roman" w:cs="Times New Roman"/>
        </w:rPr>
      </w:pPr>
      <w:r>
        <w:rPr>
          <w:rFonts w:cs="Times New Roman" w:ascii="Times New Roman" w:hAnsi="Times New Roman"/>
        </w:rPr>
        <w:tab/>
        <w:tab/>
        <w:tab/>
        <w:t xml:space="preserve">  Source Power Market Week (PMW) weekly index</w:t>
      </w:r>
    </w:p>
    <w:p>
      <w:pPr>
        <w:pStyle w:val="Caption"/>
        <w:numPr>
          <w:ilvl w:val="0"/>
          <w:numId w:val="0"/>
        </w:numPr>
        <w:ind w:hanging="360" w:start="360" w:end="0"/>
        <w:rPr>
          <w:rFonts w:ascii="Times New Roman" w:hAnsi="Times New Roman" w:cs="Times New Roman"/>
        </w:rPr>
      </w:pPr>
      <w:r>
        <w:rPr>
          <w:rFonts w:cs="Times New Roman" w:ascii="Times New Roman" w:hAnsi="Times New Roman"/>
        </w:rPr>
      </w:r>
    </w:p>
    <w:p>
      <w:pPr>
        <w:pStyle w:val="A0b"/>
        <w:numPr>
          <w:ilvl w:val="0"/>
          <w:numId w:val="6"/>
        </w:numPr>
        <w:ind w:hanging="0" w:start="0"/>
        <w:rPr>
          <w:rFonts w:ascii="Times New Roman" w:hAnsi="Times New Roman" w:cs="Times New Roman"/>
        </w:rPr>
      </w:pPr>
      <w:r>
        <w:rPr>
          <w:rFonts w:cs="Times New Roman" w:ascii="Times New Roman" w:hAnsi="Times New Roman"/>
        </w:rPr>
        <w:t>ECAR’s baseload capacity is sufficient to meet its average needs.</w:t>
      </w:r>
    </w:p>
    <w:p>
      <w:pPr>
        <w:pStyle w:val="A0b"/>
        <w:numPr>
          <w:ilvl w:val="0"/>
          <w:numId w:val="6"/>
        </w:numPr>
        <w:ind w:hanging="0" w:start="0"/>
        <w:rPr>
          <w:rFonts w:ascii="Times New Roman" w:hAnsi="Times New Roman" w:cs="Times New Roman"/>
        </w:rPr>
      </w:pPr>
      <w:r>
        <w:rPr>
          <w:rFonts w:cs="Times New Roman" w:ascii="Times New Roman" w:hAnsi="Times New Roman"/>
        </w:rPr>
        <w:t>Capacity becomes quite scarce during peak periods.</w:t>
      </w:r>
    </w:p>
    <w:p>
      <w:pPr>
        <w:pStyle w:val="B0bbox"/>
        <w:numPr>
          <w:ilvl w:val="0"/>
          <w:numId w:val="10"/>
        </w:numPr>
        <w:rPr>
          <w:rFonts w:ascii="Times New Roman" w:hAnsi="Times New Roman" w:cs="Times New Roman"/>
        </w:rPr>
      </w:pPr>
      <w:r>
        <w:rPr>
          <w:rFonts w:cs="Times New Roman" w:ascii="Times New Roman" w:hAnsi="Times New Roman"/>
        </w:rPr>
        <w:t>ECAR has become increasingly capacity short, causing higher price volatility.</w:t>
      </w:r>
    </w:p>
    <w:p>
      <w:pPr>
        <w:pStyle w:val="B0bbox"/>
        <w:numPr>
          <w:ilvl w:val="0"/>
          <w:numId w:val="10"/>
        </w:numPr>
        <w:rPr>
          <w:rFonts w:ascii="Times New Roman" w:hAnsi="Times New Roman" w:cs="Times New Roman"/>
        </w:rPr>
      </w:pPr>
      <w:r>
        <w:rPr>
          <w:rFonts w:cs="Times New Roman" w:ascii="Times New Roman" w:hAnsi="Times New Roman"/>
        </w:rPr>
        <w:t>Southern ECAR experienced explosions in peak power prices in the summers of 1997 and more so in 1998.  As in MAIN, these spikes help account for the high 1998 average and on peak Power Markets Week prices.</w:t>
      </w:r>
    </w:p>
    <w:p>
      <w:pPr>
        <w:pStyle w:val="B0bbox"/>
        <w:numPr>
          <w:ilvl w:val="0"/>
          <w:numId w:val="10"/>
        </w:numPr>
        <w:rPr>
          <w:rFonts w:ascii="Times New Roman" w:hAnsi="Times New Roman" w:cs="Times New Roman"/>
        </w:rPr>
      </w:pPr>
      <w:r>
        <w:rPr>
          <w:rFonts w:cs="Times New Roman" w:ascii="Times New Roman" w:hAnsi="Times New Roman"/>
        </w:rPr>
        <w:t xml:space="preserve">In 1999, Southern ECAR again experienced high prices, with the weekly index reaching as high as </w:t>
      </w:r>
      <w:r>
        <w:rPr>
          <w:rStyle w:val="CommentReference"/>
          <w:rFonts w:cs="Times New Roman" w:ascii="Times New Roman" w:hAnsi="Times New Roman"/>
          <w:vanish w:val="false"/>
        </w:rPr>
        <w:commentReference w:id="14"/>
      </w:r>
      <w:r>
        <w:rPr>
          <w:rFonts w:cs="Times New Roman" w:ascii="Times New Roman" w:hAnsi="Times New Roman"/>
        </w:rPr>
        <w:t>$600/MWh in August.</w:t>
      </w:r>
      <w:r>
        <w:br w:type="page"/>
      </w:r>
    </w:p>
    <w:p>
      <w:pPr>
        <w:pStyle w:val="Ttl0"/>
        <w:keepNext w:val="true"/>
        <w:numPr>
          <w:ilvl w:val="0"/>
          <w:numId w:val="0"/>
        </w:numPr>
        <w:spacing w:before="0" w:after="0"/>
        <w:ind w:start="1440" w:end="0"/>
        <w:outlineLvl w:val="0"/>
        <w:rPr>
          <w:rFonts w:ascii="Times New Roman" w:hAnsi="Times New Roman" w:cs="Times New Roman"/>
          <w:sz w:val="24"/>
        </w:rPr>
      </w:pPr>
      <w:r>
        <w:drawing>
          <wp:anchor behindDoc="0" distT="0" distB="0" distL="114935" distR="114935" simplePos="0" locked="0" layoutInCell="0" allowOverlap="1" relativeHeight="28">
            <wp:simplePos x="0" y="0"/>
            <wp:positionH relativeFrom="column">
              <wp:posOffset>228600</wp:posOffset>
            </wp:positionH>
            <wp:positionV relativeFrom="paragraph">
              <wp:posOffset>457200</wp:posOffset>
            </wp:positionV>
            <wp:extent cx="5479415" cy="4107815"/>
            <wp:effectExtent l="0" t="0" r="0" b="0"/>
            <wp:wrapTopAndBottom/>
            <wp:docPr id="2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 title=""/>
                    <pic:cNvPicPr>
                      <a:picLocks noChangeAspect="1" noChangeArrowheads="1"/>
                    </pic:cNvPicPr>
                  </pic:nvPicPr>
                  <pic:blipFill>
                    <a:blip r:embed="rId31"/>
                    <a:srcRect l="-4" t="-5" r="-4" b="-5"/>
                    <a:stretch>
                      <a:fillRect/>
                    </a:stretch>
                  </pic:blipFill>
                  <pic:spPr bwMode="auto">
                    <a:xfrm>
                      <a:off x="0" y="0"/>
                      <a:ext cx="5479415" cy="4107815"/>
                    </a:xfrm>
                    <a:prstGeom prst="rect">
                      <a:avLst/>
                    </a:prstGeom>
                    <a:noFill/>
                  </pic:spPr>
                </pic:pic>
              </a:graphicData>
            </a:graphic>
          </wp:anchor>
        </w:drawing>
      </w:r>
      <w:r>
        <w:rPr>
          <w:rFonts w:cs="Times New Roman" w:ascii="Times New Roman" w:hAnsi="Times New Roman"/>
          <w:sz w:val="24"/>
        </w:rPr>
        <w:t>ECAR Weekly Indexes – Recent Price Spikes in ECAR</w:t>
      </w:r>
    </w:p>
    <w:p>
      <w:pPr>
        <w:pStyle w:val="Hidden"/>
        <w:rPr>
          <w:rFonts w:ascii="Times New Roman" w:hAnsi="Times New Roman" w:cs="Times New Roman"/>
          <w:vanish w:val="false"/>
          <w:sz w:val="24"/>
        </w:rPr>
      </w:pPr>
      <w:r>
        <w:rPr>
          <w:rFonts w:cs="Times New Roman" w:ascii="Times New Roman" w:hAnsi="Times New Roman"/>
          <w:vanish w:val="false"/>
          <w:sz w:val="24"/>
        </w:rPr>
      </w:r>
    </w:p>
    <w:p>
      <w:pPr>
        <w:pStyle w:val="Hidden"/>
        <w:rPr>
          <w:rFonts w:ascii="Times New Roman" w:hAnsi="Times New Roman" w:cs="Times New Roman"/>
        </w:rPr>
      </w:pPr>
      <w:r>
        <w:rPr>
          <w:rFonts w:cs="Times New Roman" w:ascii="Times New Roman" w:hAnsi="Times New Roman"/>
        </w:rPr>
        <w:t>!Sheet1  Size: 4.10" x 6.00"  Original Size: 4.50" x 5.99"    Crop:  .11" Top   .29" Bottom</w:t>
      </w:r>
    </w:p>
    <w:p>
      <w:pPr>
        <w:pStyle w:val="Normal"/>
        <w:ind w:start="720" w:end="0"/>
        <w:rPr>
          <w:rFonts w:ascii="Times New Roman" w:hAnsi="Times New Roman" w:cs="Times New Roman"/>
        </w:rPr>
      </w:pPr>
      <w:r>
        <w:rPr>
          <w:rFonts w:cs="Times New Roman"/>
        </w:rPr>
      </w:r>
    </w:p>
    <w:p>
      <w:pPr>
        <w:pStyle w:val="Normal"/>
        <w:numPr>
          <w:ilvl w:val="0"/>
          <w:numId w:val="0"/>
        </w:numPr>
        <w:tabs>
          <w:tab w:val="clear" w:pos="720"/>
          <w:tab w:val="left" w:pos="5040" w:leader="none"/>
        </w:tabs>
        <w:ind w:start="1233" w:end="0"/>
        <w:outlineLvl w:val="0"/>
        <w:rPr/>
      </w:pPr>
      <w:r>
        <w:rPr>
          <w:i/>
          <w:sz w:val="16"/>
        </w:rPr>
        <w:t>Source</w:t>
      </w:r>
      <w:r>
        <w:rPr>
          <w:sz w:val="16"/>
        </w:rPr>
        <w:t>:  Power Market Week.</w:t>
      </w:r>
    </w:p>
    <w:p>
      <w:pPr>
        <w:pStyle w:val="A0"/>
        <w:rPr>
          <w:rFonts w:ascii="Times New Roman" w:hAnsi="Times New Roman" w:cs="Times New Roman"/>
          <w:sz w:val="16"/>
        </w:rPr>
      </w:pPr>
      <w:r>
        <w:rPr>
          <w:rFonts w:cs="Times New Roman" w:ascii="Times New Roman" w:hAnsi="Times New Roman"/>
          <w:sz w:val="16"/>
        </w:rPr>
      </w:r>
      <w:r>
        <w:br w:type="page"/>
      </w:r>
    </w:p>
    <w:p>
      <w:pPr>
        <w:pStyle w:val="SecRN0"/>
        <w:spacing w:before="0" w:after="120"/>
        <w:rPr>
          <w:rFonts w:ascii="Times New Roman" w:hAnsi="Times New Roman" w:cs="Times New Roman"/>
        </w:rPr>
      </w:pPr>
      <w:r>
        <w:rPr>
          <w:rFonts w:cs="Times New Roman" w:ascii="Times New Roman" w:hAnsi="Times New Roman"/>
        </w:rPr>
        <w:t>V.</w:t>
        <w:tab/>
        <w:t xml:space="preserve">TENNESSEE VALLEY AUTHORITY (“TVA”) </w:t>
      </w:r>
    </w:p>
    <w:p>
      <w:pPr>
        <w:pStyle w:val="A0"/>
        <w:rPr>
          <w:rFonts w:ascii="Times New Roman" w:hAnsi="Times New Roman" w:cs="Times New Roman"/>
        </w:rPr>
      </w:pPr>
      <w:r>
        <w:rPr>
          <w:rFonts w:cs="Times New Roman" w:ascii="Times New Roman" w:hAnsi="Times New Roman"/>
        </w:rPr>
        <w:t>While TVA is not an independent reliability council, it is discussed here separately from the rest of the Southeast Electric Reliability Council (“SERC”) for several reasons:</w:t>
      </w:r>
    </w:p>
    <w:p>
      <w:pPr>
        <w:pStyle w:val="A0b"/>
        <w:numPr>
          <w:ilvl w:val="0"/>
          <w:numId w:val="6"/>
        </w:numPr>
        <w:ind w:hanging="0" w:start="0"/>
        <w:rPr>
          <w:rFonts w:ascii="Times New Roman" w:hAnsi="Times New Roman" w:cs="Times New Roman"/>
        </w:rPr>
      </w:pPr>
      <w:r>
        <w:rPr>
          <w:rFonts w:cs="Times New Roman" w:ascii="Times New Roman" w:hAnsi="Times New Roman"/>
        </w:rPr>
        <w:t>SERC is extremely large and diverse, and it is therefore less meaningful to examine SERC as a single marketplace (e.g. TVA has significantly more hydropower generation than the rest of SERC).</w:t>
      </w:r>
    </w:p>
    <w:p>
      <w:pPr>
        <w:pStyle w:val="A0b"/>
        <w:numPr>
          <w:ilvl w:val="0"/>
          <w:numId w:val="6"/>
        </w:numPr>
        <w:ind w:hanging="0" w:start="0"/>
        <w:rPr>
          <w:rFonts w:ascii="Times New Roman" w:hAnsi="Times New Roman" w:cs="Times New Roman"/>
        </w:rPr>
      </w:pPr>
      <w:r>
        <w:rPr>
          <w:rFonts w:cs="Times New Roman" w:ascii="Times New Roman" w:hAnsi="Times New Roman"/>
        </w:rPr>
        <w:t>TVA has significant independence from SERC for planning and operations.</w:t>
      </w:r>
    </w:p>
    <w:p>
      <w:pPr>
        <w:pStyle w:val="A0b"/>
        <w:numPr>
          <w:ilvl w:val="0"/>
          <w:numId w:val="6"/>
        </w:numPr>
        <w:ind w:hanging="0" w:start="0"/>
        <w:rPr>
          <w:rFonts w:ascii="Times New Roman" w:hAnsi="Times New Roman" w:cs="Times New Roman"/>
        </w:rPr>
      </w:pPr>
      <w:r>
        <w:rPr>
          <w:rFonts w:cs="Times New Roman" w:ascii="Times New Roman" w:hAnsi="Times New Roman"/>
        </w:rPr>
        <w:t>There are transmission constraints between TVA and the rest of SERC.</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 xml:space="preserve">TVA Regional Overview </w:t>
      </w:r>
    </w:p>
    <w:p>
      <w:pPr>
        <w:pStyle w:val="A0b"/>
        <w:numPr>
          <w:ilvl w:val="0"/>
          <w:numId w:val="6"/>
        </w:numPr>
        <w:ind w:hanging="0" w:start="0"/>
        <w:rPr>
          <w:rFonts w:ascii="Times New Roman" w:hAnsi="Times New Roman" w:cs="Times New Roman"/>
        </w:rPr>
      </w:pPr>
      <w:r>
        <w:rPr>
          <w:rFonts w:cs="Times New Roman" w:ascii="Times New Roman" w:hAnsi="Times New Roman"/>
        </w:rPr>
        <w:t>TVA is primarily a wholesaler, selling about 80 percent of its output to about 160 municipal utilities and cooperatives, and also sells directly to 60 large industrial customer and government installations.</w:t>
      </w:r>
    </w:p>
    <w:p>
      <w:pPr>
        <w:pStyle w:val="A0b"/>
        <w:numPr>
          <w:ilvl w:val="0"/>
          <w:numId w:val="6"/>
        </w:numPr>
        <w:ind w:hanging="0" w:start="0"/>
        <w:rPr>
          <w:rFonts w:ascii="Times New Roman" w:hAnsi="Times New Roman" w:cs="Times New Roman"/>
        </w:rPr>
      </w:pPr>
      <w:r>
        <w:rPr>
          <w:rFonts w:cs="Times New Roman" w:ascii="Times New Roman" w:hAnsi="Times New Roman"/>
        </w:rPr>
        <w:t>TVA encompasses a 200,000-square kilometer area including all of Tennessee, sizeable portions of northern Alabama, northern Mississippi, and southern Kentucky and small portions of Georgia, North Carolina, and Virginia.</w:t>
      </w:r>
    </w:p>
    <w:p>
      <w:pPr>
        <w:pStyle w:val="A0b"/>
        <w:numPr>
          <w:ilvl w:val="0"/>
          <w:numId w:val="6"/>
        </w:numPr>
        <w:spacing w:before="100" w:after="240"/>
        <w:ind w:hanging="0" w:start="0"/>
        <w:rPr>
          <w:rFonts w:ascii="Times New Roman" w:hAnsi="Times New Roman" w:cs="Times New Roman"/>
        </w:rPr>
      </w:pPr>
      <w:r>
        <w:rPr>
          <w:rFonts w:cs="Times New Roman" w:ascii="Times New Roman" w:hAnsi="Times New Roman"/>
        </w:rPr>
        <w:t>TVA is planned and dispatched as one system with peak loads in excess of 27 GW.</w:t>
      </w:r>
    </w:p>
    <w:p>
      <w:pPr>
        <w:pStyle w:val="A0b"/>
        <w:numPr>
          <w:ilvl w:val="0"/>
          <w:numId w:val="0"/>
        </w:numPr>
        <w:spacing w:before="100" w:after="240"/>
        <w:ind w:hanging="0" w:start="1800" w:end="0"/>
        <w:rPr>
          <w:rFonts w:ascii="Times New Roman" w:hAnsi="Times New Roman" w:cs="Times New Roman"/>
        </w:rPr>
      </w:pPr>
      <w:r>
        <w:rPr>
          <w:rFonts w:cs="Times New Roman" w:ascii="Times New Roman" w:hAnsi="Times New Roman"/>
        </w:rPr>
        <w:br/>
      </w:r>
      <w:bookmarkStart w:id="36" w:name="_1020159708"/>
      <w:bookmarkStart w:id="37" w:name="_1020159265"/>
      <w:bookmarkEnd w:id="36"/>
      <w:bookmarkEnd w:id="37"/>
      <w:r>
        <w:rPr>
          <w:rFonts w:cs="Times New Roman" w:ascii="Times New Roman" w:hAnsi="Times New Roman"/>
        </w:rPr>
        <w:object w:dxaOrig="7771" w:dyaOrig="4741">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88.55pt;height:237.05pt" filled="f" o:ole="">
            <v:imagedata r:id="rId33" o:title=""/>
          </v:shape>
          <o:OLEObject Type="Embed" ProgID="" ShapeID="ole_rId32" DrawAspect="Content" ObjectID="_750150123" r:id="rId32"/>
        </w:object>
      </w:r>
    </w:p>
    <w:p>
      <w:pPr>
        <w:pStyle w:val="Normal"/>
        <w:rPr>
          <w:vanish/>
          <w:color w:val="FF0000"/>
        </w:rPr>
      </w:pPr>
      <w:r>
        <w:rPr>
          <w:vanish/>
          <w:color w:val="FF0000"/>
        </w:rPr>
        <w:t>k:\adobe\tif_april\enron\....tif,gif,jpg</w:t>
      </w:r>
      <w:r>
        <w:br w:type="page"/>
      </w:r>
    </w:p>
    <w:p>
      <w:pPr>
        <w:pStyle w:val="Sub0"/>
        <w:keepNext w:val="false"/>
        <w:keepLines/>
        <w:numPr>
          <w:ilvl w:val="0"/>
          <w:numId w:val="0"/>
        </w:numPr>
        <w:spacing w:before="120" w:after="0"/>
        <w:ind w:hanging="0" w:start="1440"/>
        <w:outlineLvl w:val="0"/>
        <w:rPr>
          <w:rFonts w:ascii="Times New Roman" w:hAnsi="Times New Roman" w:cs="Times New Roman"/>
        </w:rPr>
      </w:pPr>
      <w:r>
        <w:rPr>
          <w:rFonts w:cs="Times New Roman" w:ascii="Times New Roman" w:hAnsi="Times New Roman"/>
        </w:rPr>
        <w:t>TVA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TableHeadings"/>
              <w:keepLines/>
              <w:snapToGrid w:val="false"/>
              <w:spacing w:before="20" w:after="20"/>
              <w:rPr>
                <w:rFonts w:ascii="Times New Roman" w:hAnsi="Times New Roman" w:cs="Times New Roman"/>
              </w:rPr>
            </w:pPr>
            <w:r>
              <w:rPr>
                <w:rFonts w:cs="Times New Roman" w:ascii="Times New Roman" w:hAnsi="Times New Roman"/>
              </w:rPr>
            </w:r>
          </w:p>
        </w:tc>
        <w:tc>
          <w:tcPr>
            <w:tcW w:w="2475" w:type="dxa"/>
            <w:tcBorders>
              <w:top w:val="single" w:sz="18" w:space="0" w:color="000000"/>
              <w:bottom w:val="single" w:sz="6" w:space="0" w:color="000000"/>
            </w:tcBorders>
            <w:vAlign w:val="bottom"/>
          </w:tcPr>
          <w:p>
            <w:pPr>
              <w:pStyle w:val="Normal"/>
              <w:keepLines/>
              <w:snapToGrid w:val="false"/>
              <w:spacing w:before="20" w:after="20"/>
              <w:jc w:val="center"/>
              <w:rPr>
                <w:rFonts w:ascii="Times New Roman" w:hAnsi="Times New Roman" w:cs="Times New Roman"/>
                <w:caps/>
                <w:sz w:val="16"/>
              </w:rPr>
            </w:pPr>
            <w:r>
              <w:rPr>
                <w:rFonts w:cs="Times New Roman"/>
                <w:caps/>
                <w:sz w:val="16"/>
              </w:rPr>
            </w:r>
          </w:p>
        </w:tc>
      </w:tr>
      <w:tr>
        <w:trPr/>
        <w:tc>
          <w:tcPr>
            <w:tcW w:w="3825" w:type="dxa"/>
            <w:tcBorders/>
          </w:tcPr>
          <w:p>
            <w:pPr>
              <w:pStyle w:val="T0"/>
              <w:keepLines/>
              <w:spacing w:before="180" w:after="36"/>
              <w:rPr>
                <w:rFonts w:ascii="Times New Roman" w:hAnsi="Times New Roman" w:cs="Times New Roman"/>
                <w:vertAlign w:val="superscript"/>
              </w:rPr>
            </w:pPr>
            <w:r>
              <w:rPr>
                <w:rFonts w:cs="Times New Roman" w:ascii="Times New Roman" w:hAnsi="Times New Roman"/>
              </w:rPr>
              <w:t>Total Capacity</w:t>
            </w:r>
          </w:p>
        </w:tc>
        <w:tc>
          <w:tcPr>
            <w:tcW w:w="2475" w:type="dxa"/>
            <w:tcBorders/>
          </w:tcPr>
          <w:p>
            <w:pPr>
              <w:pStyle w:val="Normal"/>
              <w:keepLines/>
              <w:tabs>
                <w:tab w:val="clear" w:pos="720"/>
                <w:tab w:val="decimal" w:pos="1305" w:leader="none"/>
              </w:tabs>
              <w:spacing w:before="180" w:after="36"/>
              <w:ind w:start="45" w:end="0"/>
              <w:rPr/>
            </w:pPr>
            <w:r>
              <w:rPr/>
              <w:t>30 GW</w:t>
            </w:r>
          </w:p>
        </w:tc>
      </w:tr>
      <w:tr>
        <w:trPr/>
        <w:tc>
          <w:tcPr>
            <w:tcW w:w="3825" w:type="dxa"/>
            <w:tcBorders/>
          </w:tcPr>
          <w:p>
            <w:pPr>
              <w:pStyle w:val="Normal"/>
              <w:keepLines/>
              <w:spacing w:before="36" w:after="36"/>
              <w:rPr>
                <w:vertAlign w:val="superscript"/>
              </w:rPr>
            </w:pPr>
            <w:r>
              <w:rPr/>
              <w:t>Peak Load</w:t>
            </w:r>
          </w:p>
        </w:tc>
        <w:tc>
          <w:tcPr>
            <w:tcW w:w="2475" w:type="dxa"/>
            <w:tcBorders/>
          </w:tcPr>
          <w:p>
            <w:pPr>
              <w:pStyle w:val="Normal"/>
              <w:keepLines/>
              <w:tabs>
                <w:tab w:val="clear" w:pos="720"/>
                <w:tab w:val="decimal" w:pos="1305" w:leader="none"/>
              </w:tabs>
              <w:spacing w:before="36" w:after="36"/>
              <w:ind w:start="45" w:end="0"/>
              <w:rPr/>
            </w:pPr>
            <w:r>
              <w:rPr/>
              <w:t>27 GW</w:t>
            </w:r>
          </w:p>
        </w:tc>
      </w:tr>
      <w:tr>
        <w:trPr/>
        <w:tc>
          <w:tcPr>
            <w:tcW w:w="3825" w:type="dxa"/>
            <w:tcBorders/>
          </w:tcPr>
          <w:p>
            <w:pPr>
              <w:pStyle w:val="Normal"/>
              <w:keepLines/>
              <w:spacing w:before="36" w:after="36"/>
              <w:rPr>
                <w:vertAlign w:val="superscript"/>
              </w:rPr>
            </w:pPr>
            <w:r>
              <w:rPr/>
              <w:t>Capacity Within One Wheel</w:t>
            </w:r>
          </w:p>
        </w:tc>
        <w:tc>
          <w:tcPr>
            <w:tcW w:w="2475" w:type="dxa"/>
            <w:tcBorders/>
          </w:tcPr>
          <w:p>
            <w:pPr>
              <w:pStyle w:val="Normal"/>
              <w:keepLines/>
              <w:tabs>
                <w:tab w:val="clear" w:pos="720"/>
                <w:tab w:val="decimal" w:pos="1305" w:leader="none"/>
              </w:tabs>
              <w:spacing w:before="36" w:after="36"/>
              <w:ind w:start="45" w:end="0"/>
              <w:rPr/>
            </w:pPr>
            <w:r>
              <w:rPr/>
              <w:t>350 GW</w:t>
            </w:r>
          </w:p>
        </w:tc>
      </w:tr>
      <w:tr>
        <w:trPr/>
        <w:tc>
          <w:tcPr>
            <w:tcW w:w="3825" w:type="dxa"/>
            <w:tcBorders/>
          </w:tcPr>
          <w:p>
            <w:pPr>
              <w:pStyle w:val="Normal"/>
              <w:keepLines/>
              <w:spacing w:before="36" w:after="36"/>
              <w:rPr>
                <w:vertAlign w:val="superscript"/>
              </w:rPr>
            </w:pPr>
            <w:r>
              <w:rPr/>
              <w:t>Import Capability</w:t>
            </w:r>
          </w:p>
        </w:tc>
        <w:tc>
          <w:tcPr>
            <w:tcW w:w="2475" w:type="dxa"/>
            <w:tcBorders/>
          </w:tcPr>
          <w:p>
            <w:pPr>
              <w:pStyle w:val="Normal"/>
              <w:keepLines/>
              <w:tabs>
                <w:tab w:val="clear" w:pos="720"/>
                <w:tab w:val="decimal" w:pos="1305" w:leader="none"/>
              </w:tabs>
              <w:spacing w:before="36" w:after="36"/>
              <w:ind w:start="45" w:end="0"/>
              <w:rPr/>
            </w:pPr>
            <w:r>
              <w:rPr/>
              <w:t>11 GW</w:t>
            </w:r>
          </w:p>
        </w:tc>
      </w:tr>
      <w:tr>
        <w:trPr/>
        <w:tc>
          <w:tcPr>
            <w:tcW w:w="3825" w:type="dxa"/>
            <w:tcBorders/>
          </w:tcPr>
          <w:p>
            <w:pPr>
              <w:pStyle w:val="Normal"/>
              <w:keepLines/>
              <w:spacing w:before="36" w:after="36"/>
              <w:rPr>
                <w:vertAlign w:val="superscript"/>
              </w:rPr>
            </w:pPr>
            <w:r>
              <w:rPr/>
              <w:t>Export Capability</w:t>
            </w:r>
          </w:p>
        </w:tc>
        <w:tc>
          <w:tcPr>
            <w:tcW w:w="2475" w:type="dxa"/>
            <w:tcBorders/>
          </w:tcPr>
          <w:p>
            <w:pPr>
              <w:pStyle w:val="Normal"/>
              <w:keepLines/>
              <w:tabs>
                <w:tab w:val="clear" w:pos="720"/>
                <w:tab w:val="decimal" w:pos="1305" w:leader="none"/>
              </w:tabs>
              <w:spacing w:before="36" w:after="36"/>
              <w:ind w:start="45" w:end="0"/>
              <w:rPr/>
            </w:pPr>
            <w:r>
              <w:rPr/>
              <w:t>9 GW</w:t>
            </w:r>
          </w:p>
        </w:tc>
      </w:tr>
      <w:tr>
        <w:trPr/>
        <w:tc>
          <w:tcPr>
            <w:tcW w:w="3825" w:type="dxa"/>
            <w:tcBorders/>
          </w:tcPr>
          <w:p>
            <w:pPr>
              <w:pStyle w:val="Normal"/>
              <w:keepLines/>
              <w:spacing w:before="36" w:after="36"/>
              <w:rPr>
                <w:vertAlign w:val="superscript"/>
              </w:rPr>
            </w:pPr>
            <w:r>
              <w:rPr/>
              <w:t>Net Annual Energy</w:t>
            </w:r>
          </w:p>
        </w:tc>
        <w:tc>
          <w:tcPr>
            <w:tcW w:w="2475" w:type="dxa"/>
            <w:tcBorders/>
          </w:tcPr>
          <w:p>
            <w:pPr>
              <w:pStyle w:val="Normal"/>
              <w:keepLines/>
              <w:tabs>
                <w:tab w:val="clear" w:pos="720"/>
                <w:tab w:val="decimal" w:pos="1305" w:leader="none"/>
              </w:tabs>
              <w:spacing w:before="36" w:after="36"/>
              <w:ind w:start="45" w:end="0"/>
              <w:rPr/>
            </w:pPr>
            <w:r>
              <w:rPr/>
              <w:t>161,604 GWh</w:t>
            </w:r>
          </w:p>
        </w:tc>
      </w:tr>
      <w:tr>
        <w:trPr/>
        <w:tc>
          <w:tcPr>
            <w:tcW w:w="3825" w:type="dxa"/>
            <w:tcBorders/>
          </w:tcPr>
          <w:p>
            <w:pPr>
              <w:pStyle w:val="Normal"/>
              <w:keepLines/>
              <w:spacing w:before="36" w:after="36"/>
              <w:rPr>
                <w:vertAlign w:val="superscript"/>
              </w:rPr>
            </w:pPr>
            <w:r>
              <w:rPr/>
              <w:t>Average Demand</w:t>
            </w:r>
          </w:p>
        </w:tc>
        <w:tc>
          <w:tcPr>
            <w:tcW w:w="2475" w:type="dxa"/>
            <w:tcBorders/>
          </w:tcPr>
          <w:p>
            <w:pPr>
              <w:pStyle w:val="Normal"/>
              <w:keepLines/>
              <w:tabs>
                <w:tab w:val="clear" w:pos="720"/>
                <w:tab w:val="decimal" w:pos="1305" w:leader="none"/>
              </w:tabs>
              <w:spacing w:before="36" w:after="36"/>
              <w:ind w:start="45" w:end="0"/>
              <w:rPr/>
            </w:pPr>
            <w:r>
              <w:rPr/>
              <w:t>18 GW</w:t>
            </w:r>
          </w:p>
        </w:tc>
      </w:tr>
      <w:tr>
        <w:trPr/>
        <w:tc>
          <w:tcPr>
            <w:tcW w:w="3825" w:type="dxa"/>
            <w:tcBorders>
              <w:bottom w:val="single" w:sz="6" w:space="0" w:color="000000"/>
            </w:tcBorders>
          </w:tcPr>
          <w:p>
            <w:pPr>
              <w:pStyle w:val="T0"/>
              <w:keepLines/>
              <w:spacing w:before="36" w:after="180"/>
              <w:rPr>
                <w:rFonts w:ascii="Times New Roman" w:hAnsi="Times New Roman" w:cs="Times New Roman"/>
                <w:vertAlign w:val="superscript"/>
              </w:rPr>
            </w:pPr>
            <w:r>
              <w:rPr>
                <w:rFonts w:cs="Times New Roman" w:ascii="Times New Roman" w:hAnsi="Times New Roman"/>
              </w:rPr>
              <w:t>Net Imports</w:t>
            </w:r>
          </w:p>
        </w:tc>
        <w:tc>
          <w:tcPr>
            <w:tcW w:w="2475" w:type="dxa"/>
            <w:tcBorders>
              <w:bottom w:val="single" w:sz="6" w:space="0" w:color="000000"/>
            </w:tcBorders>
          </w:tcPr>
          <w:p>
            <w:pPr>
              <w:pStyle w:val="Normal"/>
              <w:keepLines/>
              <w:tabs>
                <w:tab w:val="clear" w:pos="720"/>
                <w:tab w:val="decimal" w:pos="1305" w:leader="none"/>
              </w:tabs>
              <w:spacing w:before="36" w:after="180"/>
              <w:ind w:start="45" w:end="0"/>
              <w:rPr/>
            </w:pPr>
            <w:r>
              <w:rPr/>
              <w:t>2,496 GWh</w:t>
            </w:r>
          </w:p>
        </w:tc>
      </w:tr>
    </w:tbl>
    <w:p>
      <w:pPr>
        <w:pStyle w:val="Source"/>
        <w:numPr>
          <w:ilvl w:val="0"/>
          <w:numId w:val="0"/>
        </w:numPr>
        <w:ind w:hanging="0" w:start="1440" w:end="0"/>
        <w:rPr>
          <w:rFonts w:ascii="Times New Roman" w:hAnsi="Times New Roman" w:cs="Times New Roman"/>
        </w:rPr>
      </w:pPr>
      <w:r>
        <w:rPr>
          <w:rFonts w:cs="Times New Roman" w:ascii="Times New Roman" w:hAnsi="Times New Roman"/>
        </w:rPr>
        <w:t>Source: ICF Base Case Forecasts for 2000.</w:t>
      </w:r>
    </w:p>
    <w:p>
      <w:pPr>
        <w:pStyle w:val="Normal"/>
        <w:rPr/>
      </w:pPr>
      <w:r>
        <w:rPr/>
        <w:tab/>
        <w:tab/>
        <w:t xml:space="preserve"> </w:t>
      </w:r>
    </w:p>
    <w:p>
      <w:pPr>
        <w:pStyle w:val="HdLet0"/>
        <w:rPr>
          <w:rFonts w:ascii="Times New Roman" w:hAnsi="Times New Roman" w:cs="Times New Roman"/>
        </w:rPr>
      </w:pPr>
      <w:r>
        <w:rPr>
          <w:rFonts w:cs="Times New Roman" w:ascii="Times New Roman" w:hAnsi="Times New Roman"/>
        </w:rPr>
        <w:t>B.</w:t>
        <w:tab/>
        <w:t xml:space="preserve">TVA Capacity Mix </w:t>
      </w:r>
    </w:p>
    <w:p>
      <w:pPr>
        <w:pStyle w:val="A0b"/>
        <w:numPr>
          <w:ilvl w:val="0"/>
          <w:numId w:val="6"/>
        </w:numPr>
        <w:ind w:hanging="0" w:start="0"/>
        <w:rPr>
          <w:rFonts w:ascii="Times New Roman" w:hAnsi="Times New Roman" w:cs="Times New Roman"/>
        </w:rPr>
      </w:pPr>
      <w:r>
        <w:rPr>
          <w:rFonts w:cs="Times New Roman" w:ascii="Times New Roman" w:hAnsi="Times New Roman"/>
        </w:rPr>
        <w:t>The TVA capacity and generation mix is dominated by coal, which accounted for about 50% of installed capacity and approximately 65% of total generation in 1997.</w:t>
      </w:r>
    </w:p>
    <w:p>
      <w:pPr>
        <w:pStyle w:val="A0b"/>
        <w:numPr>
          <w:ilvl w:val="0"/>
          <w:numId w:val="6"/>
        </w:numPr>
        <w:ind w:hanging="0" w:start="0"/>
        <w:rPr>
          <w:rFonts w:ascii="Times New Roman" w:hAnsi="Times New Roman" w:cs="Times New Roman"/>
        </w:rPr>
      </w:pPr>
      <w:r>
        <w:rPr>
          <w:rFonts w:cs="Times New Roman" w:ascii="Times New Roman" w:hAnsi="Times New Roman"/>
        </w:rPr>
        <w:t>Nuclear and hydro (including pumped storage) account for roughly 22% and 21%, respectively, of the total capacity.  The remaining capacity in TVA is comprised mainly of combustion turbines which are relied on for peak hours.</w:t>
      </w:r>
    </w:p>
    <w:p>
      <w:pPr>
        <w:pStyle w:val="A0b"/>
        <w:numPr>
          <w:ilvl w:val="0"/>
          <w:numId w:val="6"/>
        </w:numPr>
        <w:ind w:hanging="0" w:start="0"/>
        <w:rPr>
          <w:rFonts w:ascii="Times New Roman" w:hAnsi="Times New Roman" w:cs="Times New Roman"/>
        </w:rPr>
      </w:pPr>
      <w:r>
        <w:rPr>
          <w:rFonts w:cs="Times New Roman" w:ascii="Times New Roman" w:hAnsi="Times New Roman"/>
        </w:rPr>
        <w:t>TVA has more hydro than any other major U.S. sub-region in the Eastern Interconnect.</w:t>
      </w:r>
    </w:p>
    <w:p>
      <w:pPr>
        <w:pStyle w:val="Sub0"/>
        <w:numPr>
          <w:ilvl w:val="0"/>
          <w:numId w:val="0"/>
        </w:numPr>
        <w:ind w:hanging="0" w:start="0" w:end="0"/>
        <w:outlineLvl w:val="0"/>
        <w:rPr/>
      </w:pPr>
      <w:r>
        <w:rPr/>
        <w:t>TVA Capacity and Generation Mix – 2000</w:t>
      </w:r>
    </w:p>
    <w:tbl>
      <w:tblPr>
        <w:tblW w:w="9360" w:type="dxa"/>
        <w:jc w:val="center"/>
        <w:tblInd w:w="0" w:type="dxa"/>
        <w:tblLayout w:type="fixed"/>
        <w:tblCellMar>
          <w:top w:w="0" w:type="dxa"/>
          <w:start w:w="108" w:type="dxa"/>
          <w:bottom w:w="0" w:type="dxa"/>
          <w:end w:w="108" w:type="dxa"/>
        </w:tblCellMar>
      </w:tblPr>
      <w:tblGrid>
        <w:gridCol w:w="4536"/>
        <w:gridCol w:w="281"/>
        <w:gridCol w:w="4530"/>
        <w:gridCol w:w="13"/>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536" w:type="dxa"/>
            <w:tcBorders>
              <w:start w:val="single" w:sz="6" w:space="0" w:color="000000"/>
              <w:end w:val="single" w:sz="6" w:space="0" w:color="000000"/>
            </w:tcBorders>
          </w:tcPr>
          <w:p>
            <w:pPr>
              <w:pStyle w:val="Normal"/>
              <w:keepNext w:val="true"/>
              <w:rPr/>
            </w:pPr>
            <w:hyperlink r:id="rId34">
              <w:r>
                <w:rPr>
                  <w:rStyle w:val="Hyperlink"/>
                  <w:vanish/>
                  <w:sz w:val="16"/>
                </w:rPr>
                <w:t>\\snyc14207\ProjFin\yellen\990920095.xls!TVA Capacity</w:t>
              </w:r>
            </w:hyperlink>
            <w:r>
              <w:rPr>
                <w:vanish/>
                <w:color w:val="FF0000"/>
                <w:sz w:val="16"/>
              </w:rPr>
              <w:t xml:space="preserve"> Height: 2.57" Width: 3.19"</w:t>
            </w:r>
          </w:p>
          <w:p>
            <w:pPr>
              <w:pStyle w:val="Normal"/>
              <w:rPr/>
            </w:pPr>
            <w:bookmarkStart w:id="38" w:name="_1020008817"/>
            <w:bookmarkStart w:id="39" w:name="_1020008690"/>
            <w:bookmarkEnd w:id="38"/>
            <w:bookmarkEnd w:id="39"/>
            <w:r>
              <w:rPr/>
              <w:object w:dxaOrig="4301" w:dyaOrig="2841">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215.05pt;height:142.05pt" filled="f" o:ole="">
                  <v:imagedata r:id="rId36" o:title=""/>
                </v:shape>
                <o:OLEObject Type="Embed" ProgID="" ShapeID="ole_rId35" DrawAspect="Content" ObjectID="_388263369" r:id="rId35"/>
              </w:object>
            </w:r>
            <w:r>
              <w:rPr>
                <w:rStyle w:val="CommentReference"/>
                <w:vanish w:val="false"/>
              </w:rPr>
              <w:commentReference w:id="15"/>
            </w:r>
          </w:p>
        </w:tc>
        <w:tc>
          <w:tcPr>
            <w:tcW w:w="281" w:type="dxa"/>
            <w:tcBorders/>
          </w:tcPr>
          <w:p>
            <w:pPr>
              <w:pStyle w:val="Hidden"/>
              <w:snapToGrid w:val="false"/>
              <w:jc w:val="center"/>
              <w:rPr>
                <w:rFonts w:ascii="Times New Roman" w:hAnsi="Times New Roman" w:cs="Times New Roman"/>
                <w:vanish w:val="false"/>
              </w:rPr>
            </w:pPr>
            <w:r>
              <w:rPr>
                <w:rFonts w:cs="Times New Roman" w:ascii="Times New Roman" w:hAnsi="Times New Roman"/>
                <w:vanish w:val="false"/>
              </w:rPr>
            </w:r>
          </w:p>
        </w:tc>
        <w:tc>
          <w:tcPr>
            <w:tcW w:w="4530" w:type="dxa"/>
            <w:tcBorders>
              <w:start w:val="single" w:sz="6" w:space="0" w:color="000000"/>
              <w:end w:val="single" w:sz="6" w:space="0" w:color="000000"/>
            </w:tcBorders>
          </w:tcPr>
          <w:p>
            <w:pPr>
              <w:pStyle w:val="Normal"/>
              <w:keepNext w:val="true"/>
              <w:rPr/>
            </w:pPr>
            <w:hyperlink r:id="rId37">
              <w:r>
                <w:rPr>
                  <w:rStyle w:val="Hyperlink"/>
                  <w:vanish/>
                  <w:sz w:val="16"/>
                </w:rPr>
                <w:t>\\snyc14207\ProjFin\yellen\990920095.xls!TVA Generation</w:t>
              </w:r>
            </w:hyperlink>
            <w:r>
              <w:rPr>
                <w:vanish/>
                <w:color w:val="FF0000"/>
                <w:sz w:val="16"/>
              </w:rPr>
              <w:t xml:space="preserve"> Height: 2.6" Width: 3.18"</w:t>
            </w:r>
          </w:p>
          <w:p>
            <w:pPr>
              <w:pStyle w:val="Normal"/>
              <w:rPr/>
            </w:pPr>
            <w:bookmarkStart w:id="40" w:name="_1020015005"/>
            <w:bookmarkStart w:id="41" w:name="_1020014977"/>
            <w:bookmarkStart w:id="42" w:name="_1020008828"/>
            <w:bookmarkStart w:id="43" w:name="_1020008792"/>
            <w:bookmarkStart w:id="44" w:name="_1020008711"/>
            <w:bookmarkEnd w:id="40"/>
            <w:bookmarkEnd w:id="41"/>
            <w:bookmarkEnd w:id="42"/>
            <w:bookmarkEnd w:id="43"/>
            <w:bookmarkEnd w:id="44"/>
            <w:r>
              <w:rPr/>
              <w:object w:dxaOrig="4281" w:dyaOrig="2461">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14.05pt;height:123.05pt" filled="f" o:ole="">
                  <v:imagedata r:id="rId39" o:title=""/>
                </v:shape>
                <o:OLEObject Type="Embed" ProgID="" ShapeID="ole_rId38" DrawAspect="Content" ObjectID="_1702314870" r:id="rId38"/>
              </w:object>
            </w:r>
            <w:r>
              <w:rPr>
                <w:rStyle w:val="CommentReference"/>
                <w:vanish w:val="false"/>
              </w:rPr>
              <w:commentReference w:id="16"/>
            </w:r>
          </w:p>
        </w:tc>
      </w:tr>
      <w:tr>
        <w:trPr/>
        <w:tc>
          <w:tcPr>
            <w:tcW w:w="4536"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30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530"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Internal Generation = 159 BkWh</w:t>
            </w:r>
            <w:r>
              <w:rPr>
                <w:rStyle w:val="CommentReference"/>
                <w:rFonts w:cs="Times New Roman" w:ascii="Times New Roman" w:hAnsi="Times New Roman"/>
                <w:b/>
                <w:vanish w:val="false"/>
              </w:rPr>
              <w:commentReference w:id="17"/>
            </w:r>
          </w:p>
        </w:tc>
      </w:tr>
      <w:tr>
        <w:trPr/>
        <w:tc>
          <w:tcPr>
            <w:tcW w:w="9360" w:type="dxa"/>
            <w:gridSpan w:val="3"/>
            <w:tcBorders/>
          </w:tcPr>
          <w:p>
            <w:pPr>
              <w:pStyle w:val="BodyText"/>
              <w:spacing w:before="160" w:after="0"/>
              <w:ind w:hanging="475" w:start="475" w:end="0"/>
              <w:rPr/>
            </w:pPr>
            <w:r>
              <w:rPr>
                <w:rFonts w:cs="Times New Roman" w:ascii="Times New Roman" w:hAnsi="Times New Roman"/>
                <w:i/>
                <w:sz w:val="16"/>
              </w:rPr>
              <w:t>Note:</w:t>
            </w:r>
            <w:r>
              <w:rPr>
                <w:rFonts w:cs="Times New Roman" w:ascii="Times New Roman" w:hAnsi="Times New Roman"/>
                <w:sz w:val="16"/>
              </w:rPr>
              <w:t xml:space="preserve">  Capacity physically located in TVA region, but counting toward other regions is not included in the capacity mix.  Totals may not add due to rounding.</w:t>
            </w:r>
          </w:p>
          <w:p>
            <w:pPr>
              <w:pStyle w:val="A0b"/>
              <w:numPr>
                <w:ilvl w:val="0"/>
                <w:numId w:val="0"/>
              </w:numPr>
              <w:spacing w:before="36" w:after="0"/>
              <w:ind w:hanging="0" w:start="0"/>
              <w:rPr>
                <w:rFonts w:ascii="Times New Roman" w:hAnsi="Times New Roman" w:cs="Times New Roman"/>
              </w:rPr>
            </w:pPr>
            <w:r>
              <w:rPr>
                <w:rFonts w:cs="Times New Roman" w:ascii="Times New Roman" w:hAnsi="Times New Roman"/>
                <w:i/>
                <w:sz w:val="16"/>
              </w:rPr>
              <w:t>Source</w:t>
            </w:r>
            <w:r>
              <w:rPr>
                <w:rFonts w:cs="Times New Roman" w:ascii="Times New Roman" w:hAnsi="Times New Roman"/>
                <w:sz w:val="16"/>
              </w:rPr>
              <w:t>:  ICF Base Case Forecast for the year 2000.</w:t>
            </w:r>
          </w:p>
        </w:tc>
      </w:tr>
    </w:tbl>
    <w:p>
      <w:pPr>
        <w:pStyle w:val="Normal"/>
        <w:rPr/>
      </w:pPr>
      <w:r>
        <w:rPr/>
      </w:r>
    </w:p>
    <w:p>
      <w:pPr>
        <w:pStyle w:val="HdLet0"/>
        <w:rPr>
          <w:rFonts w:ascii="Times New Roman" w:hAnsi="Times New Roman" w:cs="Times New Roman"/>
        </w:rPr>
      </w:pPr>
      <w:r>
        <w:rPr>
          <w:rFonts w:cs="Times New Roman" w:ascii="Times New Roman" w:hAnsi="Times New Roman"/>
        </w:rPr>
        <w:t>C.</w:t>
        <w:tab/>
        <w:t>TVA Transmission Overview</w:t>
      </w:r>
    </w:p>
    <w:p>
      <w:pPr>
        <w:pStyle w:val="A0b"/>
        <w:numPr>
          <w:ilvl w:val="0"/>
          <w:numId w:val="6"/>
        </w:numPr>
        <w:ind w:hanging="0" w:start="0"/>
        <w:rPr>
          <w:rFonts w:ascii="Times New Roman" w:hAnsi="Times New Roman" w:cs="Times New Roman"/>
        </w:rPr>
      </w:pPr>
      <w:r>
        <w:object w:dxaOrig="7185" w:dyaOrig="5385">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position:absolute;margin-left:-10.8pt;margin-top:63.3pt;width:359.25pt;height:269.25pt;mso-wrap-distance-left:9.05pt;mso-wrap-distance-right:9.05pt;mso-position-horizontal-relative:text;mso-position-vertical-relative:text" filled="f" o:ole="">
            <v:imagedata r:id="rId41" o:title=""/>
            <w10:wrap type="topAndBottom"/>
          </v:shape>
          <o:OLEObject Type="Embed" ProgID="" ShapeID="ole_rId40" DrawAspect="Content" ObjectID="_696955544" r:id="rId40"/>
        </w:object>
      </w:r>
      <w:r>
        <w:rPr>
          <w:rFonts w:cs="Times New Roman" w:ascii="Times New Roman" w:hAnsi="Times New Roman"/>
        </w:rPr>
        <w:t>TVA is the most centrally located power market area in the U.S. and has the greatest interconnections with other regions in the Eastern Interconnect.</w:t>
      </w:r>
    </w:p>
    <w:p>
      <w:pPr>
        <w:pStyle w:val="Heading9"/>
        <w:rPr>
          <w:rFonts w:ascii="Times New Roman" w:hAnsi="Times New Roman" w:cs="Times New Roman"/>
          <w:color w:val="auto"/>
        </w:rPr>
      </w:pPr>
      <w:r>
        <w:rPr>
          <w:rFonts w:cs="Times New Roman" w:ascii="Times New Roman" w:hAnsi="Times New Roman"/>
        </w:rPr>
        <w:t>PresTech K:\Adobe\April_tif\Project Finance Emron.tif</w:t>
      </w:r>
    </w:p>
    <w:p>
      <w:pPr>
        <w:pStyle w:val="Normal"/>
        <w:spacing w:before="120" w:after="120"/>
        <w:ind w:start="720" w:end="0"/>
        <w:rPr>
          <w:rFonts w:ascii="Times New Roman" w:hAnsi="Times New Roman" w:cs="Times New Roman"/>
          <w:color w:val="auto"/>
          <w:sz w:val="24"/>
        </w:rPr>
      </w:pPr>
      <w:r>
        <w:rPr>
          <w:rFonts w:cs="Times New Roman"/>
          <w:color w:val="auto"/>
          <w:sz w:val="24"/>
        </w:rPr>
      </w:r>
    </w:p>
    <w:p>
      <w:pPr>
        <w:pStyle w:val="A0b"/>
        <w:numPr>
          <w:ilvl w:val="0"/>
          <w:numId w:val="6"/>
        </w:numPr>
        <w:ind w:hanging="0" w:start="0"/>
        <w:rPr>
          <w:rFonts w:ascii="Times New Roman" w:hAnsi="Times New Roman" w:cs="Times New Roman"/>
        </w:rPr>
      </w:pPr>
      <w:r>
        <w:rPr>
          <w:rFonts w:cs="Times New Roman" w:ascii="Times New Roman" w:hAnsi="Times New Roman"/>
        </w:rPr>
        <w:t>The primary interconnections between TVA and neighboring systems consist of ties to the following utilities:</w:t>
      </w:r>
    </w:p>
    <w:p>
      <w:pPr>
        <w:pStyle w:val="B0bbox"/>
        <w:numPr>
          <w:ilvl w:val="0"/>
          <w:numId w:val="10"/>
        </w:numPr>
        <w:rPr>
          <w:rFonts w:ascii="Times New Roman" w:hAnsi="Times New Roman" w:cs="Times New Roman"/>
        </w:rPr>
      </w:pPr>
      <w:r>
        <w:rPr>
          <w:rFonts w:cs="Times New Roman" w:ascii="Times New Roman" w:hAnsi="Times New Roman"/>
        </w:rPr>
        <w:t>ECAR – AEP/Appalachian Power, Big Rivers, Kentucky Utilities, East Kentucky Power Coop, and Louisville Gas &amp; Electric</w:t>
      </w:r>
    </w:p>
    <w:p>
      <w:pPr>
        <w:pStyle w:val="B0bbox"/>
        <w:numPr>
          <w:ilvl w:val="0"/>
          <w:numId w:val="10"/>
        </w:numPr>
        <w:rPr>
          <w:rFonts w:ascii="Times New Roman" w:hAnsi="Times New Roman" w:cs="Times New Roman"/>
        </w:rPr>
      </w:pPr>
      <w:r>
        <w:rPr>
          <w:rFonts w:cs="Times New Roman" w:ascii="Times New Roman" w:hAnsi="Times New Roman"/>
        </w:rPr>
        <w:t>VACAR – Duke Power, Carolina Power &amp; Light</w:t>
      </w:r>
    </w:p>
    <w:p>
      <w:pPr>
        <w:pStyle w:val="B0bbox"/>
        <w:numPr>
          <w:ilvl w:val="0"/>
          <w:numId w:val="10"/>
        </w:numPr>
        <w:rPr>
          <w:rFonts w:ascii="Times New Roman" w:hAnsi="Times New Roman" w:cs="Times New Roman"/>
        </w:rPr>
      </w:pPr>
      <w:r>
        <w:rPr>
          <w:rFonts w:cs="Times New Roman" w:ascii="Times New Roman" w:hAnsi="Times New Roman"/>
        </w:rPr>
        <w:t>ENTERGY – Arkansas Power &amp; Light, Mississippi Power &amp; Light</w:t>
      </w:r>
    </w:p>
    <w:p>
      <w:pPr>
        <w:pStyle w:val="B0bbox"/>
        <w:numPr>
          <w:ilvl w:val="0"/>
          <w:numId w:val="10"/>
        </w:numPr>
        <w:rPr>
          <w:rFonts w:ascii="Times New Roman" w:hAnsi="Times New Roman" w:cs="Times New Roman"/>
        </w:rPr>
      </w:pPr>
      <w:r>
        <w:rPr>
          <w:rFonts w:cs="Times New Roman" w:ascii="Times New Roman" w:hAnsi="Times New Roman"/>
        </w:rPr>
        <w:t>MAIN – Central Illinois Public Service, Illinois Power and Union Electric</w:t>
      </w:r>
    </w:p>
    <w:p>
      <w:pPr>
        <w:pStyle w:val="B0bbox"/>
        <w:numPr>
          <w:ilvl w:val="0"/>
          <w:numId w:val="10"/>
        </w:numPr>
        <w:rPr>
          <w:rFonts w:ascii="Times New Roman" w:hAnsi="Times New Roman" w:cs="Times New Roman"/>
        </w:rPr>
      </w:pPr>
      <w:r>
        <w:rPr>
          <w:rFonts w:cs="Times New Roman" w:ascii="Times New Roman" w:hAnsi="Times New Roman"/>
        </w:rPr>
        <w:t>Southern – Alabama Power and Georgia Power</w:t>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TVA Historical Prices</w:t>
      </w:r>
    </w:p>
    <w:p>
      <w:pPr>
        <w:pStyle w:val="A0b"/>
        <w:numPr>
          <w:ilvl w:val="0"/>
          <w:numId w:val="6"/>
        </w:numPr>
        <w:ind w:hanging="0" w:start="0"/>
        <w:rPr>
          <w:rFonts w:ascii="Times New Roman" w:hAnsi="Times New Roman" w:cs="Times New Roman"/>
        </w:rPr>
      </w:pPr>
      <w:r>
        <w:rPr>
          <w:rFonts w:cs="Times New Roman" w:ascii="Times New Roman" w:hAnsi="Times New Roman"/>
        </w:rPr>
        <w:t>Electrical energy prices in all of SERC have historically been lower than neighboring regions to the North.</w:t>
      </w:r>
    </w:p>
    <w:p>
      <w:pPr>
        <w:pStyle w:val="A0b"/>
        <w:numPr>
          <w:ilvl w:val="0"/>
          <w:numId w:val="6"/>
        </w:numPr>
        <w:ind w:hanging="0" w:start="0"/>
        <w:rPr>
          <w:rFonts w:ascii="Times New Roman" w:hAnsi="Times New Roman" w:cs="Times New Roman"/>
        </w:rPr>
      </w:pPr>
      <w:r>
        <w:rPr>
          <w:rFonts w:cs="Times New Roman" w:ascii="Times New Roman" w:hAnsi="Times New Roman"/>
        </w:rPr>
        <w:t>TVA has relatively large total interconnections associated with its central location. Import and export capability is about two thirds of average demand and some lines may be upgraded, further increasing transmission access.</w:t>
      </w:r>
    </w:p>
    <w:p>
      <w:pPr>
        <w:pStyle w:val="A0b"/>
        <w:numPr>
          <w:ilvl w:val="0"/>
          <w:numId w:val="6"/>
        </w:numPr>
        <w:ind w:hanging="0" w:start="0"/>
        <w:rPr>
          <w:rFonts w:ascii="Times New Roman" w:hAnsi="Times New Roman" w:cs="Times New Roman"/>
        </w:rPr>
      </w:pPr>
      <w:r>
        <w:rPr>
          <w:rFonts w:cs="Times New Roman" w:ascii="Times New Roman" w:hAnsi="Times New Roman"/>
        </w:rPr>
        <w:t xml:space="preserve">Prices jumped between the summers of 1997 and 1998 as the market has come into full balance.  In 1999, prices were again </w:t>
      </w:r>
      <w:r>
        <w:rPr>
          <w:rStyle w:val="CommentReference"/>
          <w:rFonts w:cs="Times New Roman" w:ascii="Times New Roman" w:hAnsi="Times New Roman"/>
          <w:vanish w:val="false"/>
        </w:rPr>
        <w:commentReference w:id="18"/>
      </w:r>
      <w:r>
        <w:rPr>
          <w:rFonts w:cs="Times New Roman" w:ascii="Times New Roman" w:hAnsi="Times New Roman"/>
        </w:rPr>
        <w:t>high.</w:t>
      </w:r>
    </w:p>
    <w:p>
      <w:pPr>
        <w:pStyle w:val="A0b"/>
        <w:numPr>
          <w:ilvl w:val="0"/>
          <w:numId w:val="6"/>
        </w:numPr>
        <w:ind w:hanging="0" w:start="0"/>
        <w:rPr>
          <w:rFonts w:ascii="Times New Roman" w:hAnsi="Times New Roman" w:cs="Times New Roman"/>
        </w:rPr>
      </w:pPr>
      <w:r>
        <w:rPr>
          <w:rFonts w:cs="Times New Roman" w:ascii="Times New Roman" w:hAnsi="Times New Roman"/>
        </w:rPr>
        <w:t>The impact of the capacity situation in MAIN and Southern ECAR is also reflected in the peak prices in TVA.</w:t>
      </w:r>
    </w:p>
    <w:p>
      <w:pPr>
        <w:pStyle w:val="A0b"/>
        <w:numPr>
          <w:ilvl w:val="0"/>
          <w:numId w:val="0"/>
        </w:numPr>
        <w:ind w:hanging="0" w:start="1800" w:end="0"/>
        <w:rPr>
          <w:rFonts w:ascii="Times New Roman" w:hAnsi="Times New Roman" w:cs="Times New Roman"/>
        </w:rPr>
      </w:pPr>
      <w:r>
        <w:rPr>
          <w:rFonts w:cs="Times New Roman" w:ascii="Times New Roman" w:hAnsi="Times New Roman"/>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976"/>
        <w:gridCol w:w="32"/>
      </w:tblGrid>
      <w:tr>
        <w:trPr/>
        <w:tc>
          <w:tcPr>
            <w:tcW w:w="7110" w:type="dxa"/>
            <w:gridSpan w:val="5"/>
            <w:tcBorders/>
          </w:tcPr>
          <w:p>
            <w:pPr>
              <w:pStyle w:val="Ttel1"/>
              <w:keepNext w:val="true"/>
              <w:spacing w:before="0" w:after="0"/>
              <w:rPr>
                <w:rFonts w:ascii="Times New Roman" w:hAnsi="Times New Roman" w:cs="Times New Roman"/>
              </w:rPr>
            </w:pPr>
            <w:r>
              <w:rPr>
                <w:rFonts w:cs="Times New Roman" w:ascii="Times New Roman" w:hAnsi="Times New Roman"/>
              </w:rPr>
              <w:t xml:space="preserve">TVA/ SERC Historical Energy Prices </w:t>
            </w:r>
          </w:p>
          <w:p>
            <w:pPr>
              <w:pStyle w:val="Ttel1"/>
              <w:keepNext w:val="true"/>
              <w:spacing w:before="0" w:after="0"/>
              <w:rPr>
                <w:rFonts w:ascii="Times New Roman" w:hAnsi="Times New Roman" w:cs="Times New Roman"/>
                <w:b w:val="false"/>
                <w:i/>
                <w:i/>
                <w:sz w:val="18"/>
              </w:rPr>
            </w:pPr>
            <w:r>
              <w:rPr>
                <w:rFonts w:cs="Times New Roman" w:ascii="Times New Roman" w:hAnsi="Times New Roman"/>
              </w:rPr>
              <w:t>(</w:t>
            </w:r>
            <w:r>
              <w:rPr>
                <w:rFonts w:cs="Times New Roman" w:ascii="Times New Roman" w:hAnsi="Times New Roman"/>
                <w:i/>
              </w:rPr>
              <w:t>1998$/MWh)</w:t>
            </w:r>
          </w:p>
        </w:tc>
        <w:tc>
          <w:tcPr>
            <w:tcW w:w="32" w:type="dxa"/>
            <w:tcBorders/>
          </w:tcPr>
          <w:p>
            <w:pPr>
              <w:pStyle w:val="Normal"/>
              <w:snapToGrid w:val="false"/>
              <w:rPr>
                <w:rFonts w:ascii="Times New Roman" w:hAnsi="Times New Roman" w:cs="Times New Roman"/>
                <w:b/>
                <w:i/>
                <w:i/>
                <w:sz w:val="18"/>
              </w:rPr>
            </w:pPr>
            <w:r>
              <w:rPr>
                <w:rFonts w:cs="Times New Roman"/>
                <w:b/>
                <w:i/>
                <w:sz w:val="18"/>
              </w:rPr>
            </w:r>
          </w:p>
        </w:tc>
      </w:tr>
      <w:tr>
        <w:trPr/>
        <w:tc>
          <w:tcPr>
            <w:tcW w:w="3110" w:type="dxa"/>
            <w:tcBorders>
              <w:top w:val="single" w:sz="18" w:space="0" w:color="000000"/>
            </w:tcBorders>
            <w:vAlign w:val="bottom"/>
          </w:tcPr>
          <w:p>
            <w:pPr>
              <w:pStyle w:val="Normal"/>
              <w:keepNext w:val="true"/>
              <w:snapToGrid w:val="false"/>
              <w:spacing w:before="36" w:after="36"/>
              <w:rPr>
                <w:b/>
                <w:i/>
                <w:i/>
                <w:sz w:val="16"/>
              </w:rPr>
            </w:pPr>
            <w:r>
              <w:rPr>
                <w:b/>
                <w:i/>
                <w:sz w:val="16"/>
              </w:rPr>
            </w:r>
          </w:p>
        </w:tc>
        <w:tc>
          <w:tcPr>
            <w:tcW w:w="4032" w:type="dxa"/>
            <w:gridSpan w:val="5"/>
            <w:tcBorders>
              <w:top w:val="single" w:sz="18" w:space="0" w:color="000000"/>
            </w:tcBorders>
          </w:tcPr>
          <w:p>
            <w:pPr>
              <w:pStyle w:val="Normal"/>
              <w:keepNext w:val="true"/>
              <w:pBdr>
                <w:bottom w:val="single" w:sz="4" w:space="1" w:color="000000"/>
              </w:pBdr>
              <w:spacing w:before="36" w:after="36"/>
              <w:ind w:start="288" w:end="288"/>
              <w:jc w:val="center"/>
              <w:rPr>
                <w:sz w:val="16"/>
              </w:rPr>
            </w:pPr>
            <w:r>
              <w:rPr>
                <w:sz w:val="16"/>
              </w:rPr>
              <w:t>HISTORICAL</w:t>
            </w:r>
          </w:p>
        </w:tc>
      </w:tr>
      <w:tr>
        <w:trPr/>
        <w:tc>
          <w:tcPr>
            <w:tcW w:w="3110" w:type="dxa"/>
            <w:tcBorders>
              <w:bottom w:val="single" w:sz="4" w:space="0" w:color="000000"/>
            </w:tcBorders>
            <w:vAlign w:val="bottom"/>
          </w:tcPr>
          <w:p>
            <w:pPr>
              <w:pStyle w:val="Normal"/>
              <w:keepNext w:val="true"/>
              <w:snapToGrid w:val="false"/>
              <w:spacing w:before="36" w:after="36"/>
              <w:rPr>
                <w:sz w:val="16"/>
              </w:rPr>
            </w:pPr>
            <w:r>
              <w:rPr>
                <w:sz w:val="16"/>
              </w:rPr>
            </w:r>
          </w:p>
        </w:tc>
        <w:tc>
          <w:tcPr>
            <w:tcW w:w="1008" w:type="dxa"/>
            <w:tcBorders>
              <w:bottom w:val="single" w:sz="4" w:space="0" w:color="000000"/>
            </w:tcBorders>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gridSpan w:val="2"/>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8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PMW–Into TVA</w:t>
            </w:r>
            <w:r>
              <w:rPr>
                <w:rStyle w:val="CommentReference"/>
                <w:rFonts w:cs="Times New Roman" w:ascii="Times New Roman" w:hAnsi="Times New Roman"/>
                <w:vanish w:val="false"/>
              </w:rPr>
              <w:commentReference w:id="19"/>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8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27.6</w:t>
            </w:r>
          </w:p>
        </w:tc>
        <w:tc>
          <w:tcPr>
            <w:tcW w:w="1008" w:type="dxa"/>
            <w:tcBorders/>
          </w:tcPr>
          <w:p>
            <w:pPr>
              <w:pStyle w:val="Normal"/>
              <w:keepNext w:val="true"/>
              <w:tabs>
                <w:tab w:val="clear" w:pos="720"/>
                <w:tab w:val="decimal" w:pos="619" w:leader="none"/>
              </w:tabs>
              <w:spacing w:before="36" w:after="36"/>
              <w:rPr/>
            </w:pPr>
            <w:r>
              <w:rPr/>
              <w:t>55.8</w:t>
            </w:r>
          </w:p>
        </w:tc>
        <w:tc>
          <w:tcPr>
            <w:tcW w:w="1008" w:type="dxa"/>
            <w:gridSpan w:val="2"/>
            <w:tcBorders/>
          </w:tcPr>
          <w:p>
            <w:pPr>
              <w:pStyle w:val="Normal"/>
              <w:keepNext w:val="true"/>
              <w:tabs>
                <w:tab w:val="clear" w:pos="720"/>
                <w:tab w:val="decimal" w:pos="619" w:leader="none"/>
              </w:tabs>
              <w:spacing w:before="36" w:after="36"/>
              <w:rPr/>
            </w:pPr>
            <w:r>
              <w:rPr/>
              <w:t>51.0</w:t>
            </w:r>
          </w:p>
        </w:tc>
      </w:tr>
      <w:tr>
        <w:trPr>
          <w:trHeight w:val="480" w:hRule="atLeast"/>
        </w:trPr>
        <w:tc>
          <w:tcPr>
            <w:tcW w:w="3110" w:type="dxa"/>
            <w:tcBorders/>
          </w:tcPr>
          <w:p>
            <w:pPr>
              <w:pStyle w:val="Normal"/>
              <w:keepNext w:val="true"/>
              <w:spacing w:before="36" w:after="216"/>
              <w:ind w:start="360" w:end="0"/>
              <w:rPr/>
            </w:pPr>
            <w:r>
              <w:rPr/>
              <w:t>High</w:t>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130.7</w:t>
            </w:r>
          </w:p>
        </w:tc>
        <w:tc>
          <w:tcPr>
            <w:tcW w:w="1008" w:type="dxa"/>
            <w:tcBorders/>
          </w:tcPr>
          <w:p>
            <w:pPr>
              <w:pStyle w:val="Normal"/>
              <w:keepNext w:val="true"/>
              <w:tabs>
                <w:tab w:val="clear" w:pos="720"/>
                <w:tab w:val="decimal" w:pos="619" w:leader="none"/>
              </w:tabs>
              <w:spacing w:before="36" w:after="216"/>
              <w:rPr/>
            </w:pPr>
            <w:r>
              <w:rPr/>
              <w:t>697.7</w:t>
            </w:r>
          </w:p>
        </w:tc>
        <w:tc>
          <w:tcPr>
            <w:tcW w:w="1008" w:type="dxa"/>
            <w:gridSpan w:val="2"/>
            <w:tcBorders/>
          </w:tcPr>
          <w:p>
            <w:pPr>
              <w:pStyle w:val="Normal"/>
              <w:keepNext w:val="true"/>
              <w:tabs>
                <w:tab w:val="clear" w:pos="720"/>
                <w:tab w:val="decimal" w:pos="619" w:leader="none"/>
              </w:tabs>
              <w:spacing w:before="36" w:after="216"/>
              <w:rPr/>
            </w:pPr>
            <w:r>
              <w:rPr/>
              <w:t>1,012.2</w:t>
            </w:r>
          </w:p>
        </w:tc>
      </w:tr>
      <w:tr>
        <w:trPr>
          <w:trHeight w:val="480" w:hRule="atLeast"/>
        </w:trPr>
        <w:tc>
          <w:tcPr>
            <w:tcW w:w="3110" w:type="dxa"/>
            <w:tcBorders/>
          </w:tcPr>
          <w:p>
            <w:pPr>
              <w:pStyle w:val="Normal"/>
              <w:keepNext w:val="true"/>
              <w:spacing w:before="36" w:after="216"/>
              <w:ind w:start="360" w:end="0"/>
              <w:rPr/>
            </w:pPr>
            <w:r>
              <w:rPr/>
              <w:t>Average Summer</w:t>
            </w:r>
            <w:r>
              <w:rPr>
                <w:vertAlign w:val="superscript"/>
              </w:rPr>
              <w:t>2</w:t>
            </w:r>
            <w:r>
              <w:rPr/>
              <w:t xml:space="preserve"> Peak</w:t>
            </w:r>
            <w:r>
              <w:rPr>
                <w:rStyle w:val="CommentReference"/>
                <w:vanish w:val="false"/>
              </w:rPr>
              <w:commentReference w:id="20"/>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36.1</w:t>
            </w:r>
          </w:p>
        </w:tc>
        <w:tc>
          <w:tcPr>
            <w:tcW w:w="1008" w:type="dxa"/>
            <w:tcBorders/>
          </w:tcPr>
          <w:p>
            <w:pPr>
              <w:pStyle w:val="Normal"/>
              <w:keepNext w:val="true"/>
              <w:tabs>
                <w:tab w:val="clear" w:pos="720"/>
                <w:tab w:val="decimal" w:pos="619" w:leader="none"/>
              </w:tabs>
              <w:spacing w:before="36" w:after="216"/>
              <w:rPr/>
            </w:pPr>
            <w:r>
              <w:rPr/>
              <w:t>145.0</w:t>
            </w:r>
          </w:p>
        </w:tc>
        <w:tc>
          <w:tcPr>
            <w:tcW w:w="1008" w:type="dxa"/>
            <w:gridSpan w:val="2"/>
            <w:tcBorders/>
          </w:tcPr>
          <w:p>
            <w:pPr>
              <w:pStyle w:val="Normal"/>
              <w:keepNext w:val="true"/>
              <w:tabs>
                <w:tab w:val="clear" w:pos="720"/>
                <w:tab w:val="decimal" w:pos="619" w:leader="none"/>
              </w:tabs>
              <w:spacing w:before="36" w:after="216"/>
              <w:rPr/>
            </w:pPr>
            <w:r>
              <w:rPr/>
              <w:t>139.4</w:t>
            </w:r>
          </w:p>
        </w:tc>
      </w:tr>
      <w:tr>
        <w:trPr>
          <w:trHeight w:val="46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PMW–SERC</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6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25.0</w:t>
            </w:r>
          </w:p>
        </w:tc>
        <w:tc>
          <w:tcPr>
            <w:tcW w:w="1008" w:type="dxa"/>
            <w:tcBorders/>
          </w:tcPr>
          <w:p>
            <w:pPr>
              <w:pStyle w:val="Normal"/>
              <w:keepNext w:val="true"/>
              <w:tabs>
                <w:tab w:val="clear" w:pos="720"/>
                <w:tab w:val="decimal" w:pos="619" w:leader="none"/>
              </w:tabs>
              <w:spacing w:before="36" w:after="36"/>
              <w:rPr/>
            </w:pPr>
            <w:r>
              <w:rPr/>
              <w:t>26.3</w:t>
            </w:r>
          </w:p>
        </w:tc>
        <w:tc>
          <w:tcPr>
            <w:tcW w:w="1008" w:type="dxa"/>
            <w:tcBorders/>
          </w:tcPr>
          <w:p>
            <w:pPr>
              <w:pStyle w:val="Normal"/>
              <w:keepNext w:val="true"/>
              <w:tabs>
                <w:tab w:val="clear" w:pos="720"/>
                <w:tab w:val="decimal" w:pos="619" w:leader="none"/>
              </w:tabs>
              <w:spacing w:before="36" w:after="36"/>
              <w:rPr/>
            </w:pPr>
            <w:r>
              <w:rPr/>
              <w:t>51.2</w:t>
            </w:r>
          </w:p>
        </w:tc>
        <w:tc>
          <w:tcPr>
            <w:tcW w:w="1008" w:type="dxa"/>
            <w:gridSpan w:val="2"/>
            <w:tcBorders/>
          </w:tcPr>
          <w:p>
            <w:pPr>
              <w:pStyle w:val="Normal"/>
              <w:keepNext w:val="true"/>
              <w:tabs>
                <w:tab w:val="clear" w:pos="720"/>
                <w:tab w:val="decimal" w:pos="619" w:leader="none"/>
              </w:tabs>
              <w:spacing w:before="36" w:after="36"/>
              <w:rPr/>
            </w:pPr>
            <w:r>
              <w:rPr/>
              <w:t>50.6</w:t>
            </w:r>
          </w:p>
        </w:tc>
      </w:tr>
      <w:tr>
        <w:trPr>
          <w:trHeight w:val="46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19" w:leader="none"/>
              </w:tabs>
              <w:spacing w:before="36" w:after="36"/>
              <w:rPr/>
            </w:pPr>
            <w:r>
              <w:rPr/>
              <w:t>37.9</w:t>
            </w:r>
          </w:p>
        </w:tc>
        <w:tc>
          <w:tcPr>
            <w:tcW w:w="1008" w:type="dxa"/>
            <w:tcBorders/>
            <w:vAlign w:val="center"/>
          </w:tcPr>
          <w:p>
            <w:pPr>
              <w:pStyle w:val="Normal"/>
              <w:keepNext w:val="true"/>
              <w:tabs>
                <w:tab w:val="clear" w:pos="720"/>
                <w:tab w:val="decimal" w:pos="619" w:leader="none"/>
              </w:tabs>
              <w:spacing w:before="36" w:after="36"/>
              <w:rPr/>
            </w:pPr>
            <w:r>
              <w:rPr/>
              <w:t>118.7</w:t>
            </w:r>
          </w:p>
        </w:tc>
        <w:tc>
          <w:tcPr>
            <w:tcW w:w="1008" w:type="dxa"/>
            <w:tcBorders/>
            <w:vAlign w:val="center"/>
          </w:tcPr>
          <w:p>
            <w:pPr>
              <w:pStyle w:val="Normal"/>
              <w:keepNext w:val="true"/>
              <w:tabs>
                <w:tab w:val="clear" w:pos="720"/>
                <w:tab w:val="decimal" w:pos="619" w:leader="none"/>
              </w:tabs>
              <w:spacing w:before="36" w:after="36"/>
              <w:rPr/>
            </w:pPr>
            <w:r>
              <w:rPr/>
              <w:t>636.3</w:t>
            </w:r>
          </w:p>
        </w:tc>
        <w:tc>
          <w:tcPr>
            <w:tcW w:w="1008" w:type="dxa"/>
            <w:gridSpan w:val="2"/>
            <w:tcBorders/>
            <w:vAlign w:val="center"/>
          </w:tcPr>
          <w:p>
            <w:pPr>
              <w:pStyle w:val="Normal"/>
              <w:keepNext w:val="true"/>
              <w:tabs>
                <w:tab w:val="clear" w:pos="720"/>
                <w:tab w:val="decimal" w:pos="619" w:leader="none"/>
              </w:tabs>
              <w:spacing w:before="36" w:after="36"/>
              <w:rPr/>
            </w:pPr>
            <w:r>
              <w:rPr/>
              <w:t>926.5</w:t>
            </w:r>
          </w:p>
        </w:tc>
      </w:tr>
      <w:tr>
        <w:trPr>
          <w:trHeight w:val="460" w:hRule="atLeast"/>
        </w:trPr>
        <w:tc>
          <w:tcPr>
            <w:tcW w:w="3110" w:type="dxa"/>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tcPr>
          <w:p>
            <w:pPr>
              <w:pStyle w:val="Normal"/>
              <w:keepNext w:val="true"/>
              <w:tabs>
                <w:tab w:val="clear" w:pos="720"/>
                <w:tab w:val="decimal" w:pos="619" w:leader="none"/>
              </w:tabs>
              <w:spacing w:before="36" w:after="36"/>
              <w:rPr/>
            </w:pPr>
            <w:r>
              <w:rPr/>
              <w:t>28.4</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123.2</w:t>
            </w:r>
          </w:p>
        </w:tc>
        <w:tc>
          <w:tcPr>
            <w:tcW w:w="1008" w:type="dxa"/>
            <w:gridSpan w:val="2"/>
            <w:tcBorders/>
          </w:tcPr>
          <w:p>
            <w:pPr>
              <w:pStyle w:val="Normal"/>
              <w:keepNext w:val="true"/>
              <w:tabs>
                <w:tab w:val="clear" w:pos="720"/>
                <w:tab w:val="decimal" w:pos="619" w:leader="none"/>
              </w:tabs>
              <w:spacing w:before="36" w:after="36"/>
              <w:rPr/>
            </w:pPr>
            <w:r>
              <w:rPr/>
              <w:t>131.9</w:t>
            </w:r>
          </w:p>
        </w:tc>
      </w:tr>
      <w:tr>
        <w:trPr>
          <w:trHeight w:val="48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Megawatt Daily –  TVA</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351"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25.4</w:t>
            </w:r>
          </w:p>
        </w:tc>
        <w:tc>
          <w:tcPr>
            <w:tcW w:w="1008" w:type="dxa"/>
            <w:tcBorders/>
          </w:tcPr>
          <w:p>
            <w:pPr>
              <w:pStyle w:val="Normal"/>
              <w:keepNext w:val="true"/>
              <w:tabs>
                <w:tab w:val="clear" w:pos="720"/>
                <w:tab w:val="decimal" w:pos="619" w:leader="none"/>
              </w:tabs>
              <w:spacing w:before="36" w:after="36"/>
              <w:rPr/>
            </w:pPr>
            <w:r>
              <w:rPr/>
              <w:t>47.2</w:t>
            </w:r>
          </w:p>
        </w:tc>
        <w:tc>
          <w:tcPr>
            <w:tcW w:w="1008" w:type="dxa"/>
            <w:gridSpan w:val="2"/>
            <w:tcBorders/>
          </w:tcPr>
          <w:p>
            <w:pPr>
              <w:pStyle w:val="Normal"/>
              <w:keepNext w:val="true"/>
              <w:tabs>
                <w:tab w:val="clear" w:pos="720"/>
                <w:tab w:val="decimal" w:pos="619" w:leader="none"/>
              </w:tabs>
              <w:spacing w:before="36" w:after="36"/>
              <w:rPr/>
            </w:pPr>
            <w:r>
              <w:rPr/>
              <w:t>48.6</w:t>
            </w:r>
          </w:p>
        </w:tc>
      </w:tr>
      <w:tr>
        <w:trPr>
          <w:trHeight w:val="48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52" w:leader="none"/>
              </w:tabs>
              <w:spacing w:before="36" w:after="216"/>
              <w:rPr/>
            </w:pPr>
            <w:r>
              <w:rPr/>
              <w:t>NA</w:t>
            </w:r>
          </w:p>
        </w:tc>
        <w:tc>
          <w:tcPr>
            <w:tcW w:w="1008" w:type="dxa"/>
            <w:tcBorders/>
            <w:vAlign w:val="center"/>
          </w:tcPr>
          <w:p>
            <w:pPr>
              <w:pStyle w:val="Normal"/>
              <w:keepNext w:val="true"/>
              <w:tabs>
                <w:tab w:val="clear" w:pos="720"/>
                <w:tab w:val="decimal" w:pos="619" w:leader="none"/>
              </w:tabs>
              <w:spacing w:before="36" w:after="216"/>
              <w:rPr/>
            </w:pPr>
            <w:r>
              <w:rPr/>
              <w:t>232.5</w:t>
            </w:r>
          </w:p>
        </w:tc>
        <w:tc>
          <w:tcPr>
            <w:tcW w:w="1008" w:type="dxa"/>
            <w:tcBorders/>
            <w:vAlign w:val="center"/>
          </w:tcPr>
          <w:p>
            <w:pPr>
              <w:pStyle w:val="Normal"/>
              <w:keepNext w:val="true"/>
              <w:tabs>
                <w:tab w:val="clear" w:pos="720"/>
                <w:tab w:val="decimal" w:pos="619" w:leader="none"/>
              </w:tabs>
              <w:spacing w:before="36" w:after="216"/>
              <w:rPr/>
            </w:pPr>
            <w:r>
              <w:rPr/>
              <w:t>1,816.7</w:t>
            </w:r>
          </w:p>
        </w:tc>
        <w:tc>
          <w:tcPr>
            <w:tcW w:w="1008" w:type="dxa"/>
            <w:gridSpan w:val="2"/>
            <w:tcBorders/>
            <w:vAlign w:val="center"/>
          </w:tcPr>
          <w:p>
            <w:pPr>
              <w:pStyle w:val="Normal"/>
              <w:keepNext w:val="true"/>
              <w:tabs>
                <w:tab w:val="clear" w:pos="720"/>
                <w:tab w:val="decimal" w:pos="619" w:leader="none"/>
              </w:tabs>
              <w:spacing w:before="36" w:after="216"/>
              <w:rPr/>
            </w:pPr>
            <w:r>
              <w:rPr/>
              <w:t>1,765.4</w:t>
            </w:r>
          </w:p>
        </w:tc>
      </w:tr>
      <w:tr>
        <w:trPr>
          <w:trHeight w:val="480" w:hRule="atLeast"/>
        </w:trPr>
        <w:tc>
          <w:tcPr>
            <w:tcW w:w="3110" w:type="dxa"/>
            <w:tcBorders>
              <w:bottom w:val="single" w:sz="6" w:space="0" w:color="000000"/>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bottom w:val="single" w:sz="6" w:space="0" w:color="000000"/>
            </w:tcBorders>
          </w:tcPr>
          <w:p>
            <w:pPr>
              <w:pStyle w:val="Normal"/>
              <w:keepNext w:val="true"/>
              <w:tabs>
                <w:tab w:val="clear" w:pos="720"/>
                <w:tab w:val="decimal" w:pos="652" w:leader="none"/>
              </w:tabs>
              <w:spacing w:before="36" w:after="216"/>
              <w:rPr/>
            </w:pPr>
            <w:r>
              <w:rPr/>
              <w:t>NA</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32.3</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106.7</w:t>
            </w:r>
          </w:p>
        </w:tc>
        <w:tc>
          <w:tcPr>
            <w:tcW w:w="1008" w:type="dxa"/>
            <w:gridSpan w:val="2"/>
            <w:tcBorders>
              <w:bottom w:val="single" w:sz="6" w:space="0" w:color="000000"/>
            </w:tcBorders>
          </w:tcPr>
          <w:p>
            <w:pPr>
              <w:pStyle w:val="Normal"/>
              <w:keepNext w:val="true"/>
              <w:tabs>
                <w:tab w:val="clear" w:pos="720"/>
                <w:tab w:val="decimal" w:pos="619" w:leader="none"/>
              </w:tabs>
              <w:spacing w:before="36" w:after="216"/>
              <w:rPr/>
            </w:pPr>
            <w:r>
              <w:rPr/>
              <w:t>120.2</w:t>
            </w:r>
          </w:p>
        </w:tc>
      </w:tr>
    </w:tbl>
    <w:p>
      <w:pPr>
        <w:pStyle w:val="A0b"/>
        <w:numPr>
          <w:ilvl w:val="0"/>
          <w:numId w:val="0"/>
        </w:numPr>
        <w:spacing w:before="0" w:after="0"/>
        <w:ind w:hanging="0" w:start="0"/>
        <w:rPr/>
      </w:pPr>
      <w:r>
        <w:rPr>
          <w:rFonts w:cs="Times New Roman" w:ascii="Times New Roman" w:hAnsi="Times New Roman"/>
        </w:rPr>
        <w:tab/>
        <w:tab/>
      </w:r>
      <w:r>
        <w:rPr>
          <w:rFonts w:cs="Times New Roman" w:ascii="Times New Roman" w:hAnsi="Times New Roman"/>
          <w:sz w:val="16"/>
          <w:vertAlign w:val="superscript"/>
        </w:rPr>
        <w:t>1</w:t>
      </w:r>
      <w:r>
        <w:rPr>
          <w:rFonts w:cs="Times New Roman" w:ascii="Times New Roman" w:hAnsi="Times New Roman"/>
          <w:sz w:val="16"/>
        </w:rPr>
        <w:t xml:space="preserve"> Includes weekday hours 6 through 22.</w:t>
      </w:r>
    </w:p>
    <w:p>
      <w:pPr>
        <w:pStyle w:val="A0b"/>
        <w:numPr>
          <w:ilvl w:val="0"/>
          <w:numId w:val="0"/>
        </w:numPr>
        <w:spacing w:before="0" w:after="0"/>
        <w:ind w:hanging="0" w:start="0"/>
        <w:rPr/>
      </w:pPr>
      <w:r>
        <w:rPr>
          <w:rFonts w:cs="Times New Roman" w:ascii="Times New Roman" w:hAnsi="Times New Roman"/>
          <w:sz w:val="16"/>
        </w:rPr>
        <w:tab/>
        <w:tab/>
      </w:r>
      <w:r>
        <w:rPr>
          <w:rFonts w:cs="Times New Roman" w:ascii="Times New Roman" w:hAnsi="Times New Roman"/>
          <w:sz w:val="16"/>
          <w:vertAlign w:val="superscript"/>
        </w:rPr>
        <w:t>2</w:t>
      </w:r>
      <w:r>
        <w:rPr>
          <w:rFonts w:cs="Times New Roman" w:ascii="Times New Roman" w:hAnsi="Times New Roman"/>
          <w:sz w:val="16"/>
        </w:rPr>
        <w:t xml:space="preserve"> Includes June, July and August.</w:t>
      </w:r>
    </w:p>
    <w:p>
      <w:pPr>
        <w:pStyle w:val="A0b"/>
        <w:numPr>
          <w:ilvl w:val="0"/>
          <w:numId w:val="0"/>
        </w:numPr>
        <w:spacing w:before="0" w:after="0"/>
        <w:ind w:hanging="0" w:start="0"/>
        <w:rPr>
          <w:rFonts w:ascii="Times New Roman" w:hAnsi="Times New Roman" w:cs="Times New Roman"/>
          <w:sz w:val="16"/>
        </w:rPr>
      </w:pPr>
      <w:r>
        <w:rPr>
          <w:rFonts w:cs="Times New Roman" w:ascii="Times New Roman" w:hAnsi="Times New Roman"/>
          <w:sz w:val="16"/>
        </w:rPr>
        <w:tab/>
        <w:tab/>
        <w:t xml:space="preserve">  Source: Power Market Week (PMW) weekly index and Megawatt Daily daily index.</w:t>
      </w:r>
      <w:r>
        <w:br w:type="page"/>
      </w:r>
    </w:p>
    <w:p>
      <w:pPr>
        <w:pStyle w:val="Ttl0"/>
        <w:keepNext w:val="true"/>
        <w:numPr>
          <w:ilvl w:val="0"/>
          <w:numId w:val="0"/>
        </w:numPr>
        <w:spacing w:before="0" w:after="0"/>
        <w:ind w:start="1440" w:end="0"/>
        <w:outlineLvl w:val="0"/>
        <w:rPr>
          <w:rFonts w:ascii="Times New Roman" w:hAnsi="Times New Roman" w:cs="Times New Roman"/>
        </w:rPr>
      </w:pPr>
      <w:r>
        <w:rPr>
          <w:rFonts w:cs="Times New Roman" w:ascii="Times New Roman" w:hAnsi="Times New Roman"/>
        </w:rPr>
        <w:t>SERC Weekly Indexes – Recent Price Spikes in TVA</w:t>
      </w:r>
    </w:p>
    <w:p>
      <w:pPr>
        <w:pStyle w:val="Ttl0"/>
        <w:keepNext w:val="true"/>
        <w:numPr>
          <w:ilvl w:val="0"/>
          <w:numId w:val="0"/>
        </w:numPr>
        <w:outlineLvl w:val="0"/>
        <w:rPr>
          <w:rFonts w:ascii="Times New Roman" w:hAnsi="Times New Roman" w:cs="Times New Roman"/>
          <w:b w:val="false"/>
          <w:i/>
          <w:i/>
          <w:sz w:val="20"/>
        </w:rPr>
      </w:pPr>
      <w:r>
        <w:drawing>
          <wp:anchor behindDoc="0" distT="0" distB="0" distL="114935" distR="114935" simplePos="0" locked="0" layoutInCell="0" allowOverlap="1" relativeHeight="37">
            <wp:simplePos x="0" y="0"/>
            <wp:positionH relativeFrom="column">
              <wp:posOffset>0</wp:posOffset>
            </wp:positionH>
            <wp:positionV relativeFrom="paragraph">
              <wp:posOffset>635</wp:posOffset>
            </wp:positionV>
            <wp:extent cx="5482590" cy="3749040"/>
            <wp:effectExtent l="0" t="0" r="0" b="0"/>
            <wp:wrapTopAndBottom/>
            <wp:docPr id="2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 descr="" title=""/>
                    <pic:cNvPicPr>
                      <a:picLocks noChangeAspect="1" noChangeArrowheads="1"/>
                    </pic:cNvPicPr>
                  </pic:nvPicPr>
                  <pic:blipFill>
                    <a:blip r:embed="rId42"/>
                    <a:srcRect l="-4" t="-6" r="-4" b="-6"/>
                    <a:stretch>
                      <a:fillRect/>
                    </a:stretch>
                  </pic:blipFill>
                  <pic:spPr bwMode="auto">
                    <a:xfrm>
                      <a:off x="0" y="0"/>
                      <a:ext cx="5482590" cy="3749040"/>
                    </a:xfrm>
                    <a:prstGeom prst="rect">
                      <a:avLst/>
                    </a:prstGeom>
                    <a:noFill/>
                  </pic:spPr>
                </pic:pic>
              </a:graphicData>
            </a:graphic>
          </wp:anchor>
        </w:drawing>
      </w:r>
      <w:r>
        <w:rPr>
          <w:rFonts w:cs="Times New Roman" w:ascii="Times New Roman" w:hAnsi="Times New Roman"/>
          <w:b w:val="false"/>
          <w:i/>
          <w:sz w:val="20"/>
        </w:rPr>
        <w:t>Source: Power Market Week</w:t>
      </w:r>
    </w:p>
    <w:p>
      <w:pPr>
        <w:pStyle w:val="SecRN0"/>
        <w:rPr>
          <w:rFonts w:ascii="Times New Roman" w:hAnsi="Times New Roman" w:cs="Times New Roman"/>
          <w:b w:val="false"/>
          <w:i/>
          <w:i/>
          <w:sz w:val="20"/>
        </w:rPr>
      </w:pPr>
      <w:r>
        <w:rPr>
          <w:rFonts w:cs="Times New Roman" w:ascii="Times New Roman" w:hAnsi="Times New Roman"/>
          <w:b w:val="false"/>
          <w:i/>
          <w:sz w:val="20"/>
        </w:rPr>
      </w:r>
      <w:r>
        <w:br w:type="page"/>
      </w:r>
    </w:p>
    <w:p>
      <w:pPr>
        <w:pStyle w:val="SecRN0"/>
        <w:spacing w:before="0" w:after="120"/>
        <w:ind w:hanging="0" w:start="0" w:end="0"/>
        <w:rPr>
          <w:rFonts w:ascii="Times New Roman" w:hAnsi="Times New Roman" w:cs="Times New Roman"/>
        </w:rPr>
      </w:pPr>
      <w:r>
        <w:rPr>
          <w:rFonts w:cs="Times New Roman" w:ascii="Times New Roman" w:hAnsi="Times New Roman"/>
        </w:rPr>
        <w:t>VI.</w:t>
        <w:tab/>
        <w:t>OTHER RELEVANT DEVELOPMENTS</w:t>
      </w:r>
    </w:p>
    <w:p>
      <w:pPr>
        <w:pStyle w:val="A0"/>
        <w:rPr>
          <w:rFonts w:ascii="Times New Roman" w:hAnsi="Times New Roman" w:cs="Times New Roman"/>
        </w:rPr>
      </w:pPr>
      <w:r>
        <w:rPr>
          <w:rFonts w:cs="Times New Roman" w:ascii="Times New Roman" w:hAnsi="Times New Roman"/>
        </w:rPr>
        <w:t>There are several transmission-related developments that can further facilitate market access for the Peaker Assets.  These include a move to a more regional ISO structure with a gradual elimination of pancaking of transmission rates and thus, a more integrated marketplace.</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Midwest ISO and Transmission Charges</w:t>
      </w:r>
    </w:p>
    <w:p>
      <w:pPr>
        <w:pStyle w:val="A0b"/>
        <w:numPr>
          <w:ilvl w:val="0"/>
          <w:numId w:val="6"/>
        </w:numPr>
        <w:ind w:hanging="0" w:start="0"/>
        <w:rPr>
          <w:rFonts w:ascii="Times New Roman" w:hAnsi="Times New Roman" w:cs="Times New Roman"/>
        </w:rPr>
      </w:pPr>
      <w:r>
        <w:rPr>
          <w:rFonts w:cs="Times New Roman" w:ascii="Times New Roman" w:hAnsi="Times New Roman"/>
        </w:rPr>
        <w:t>Recently, FERC conditionally approved the Midwest ISO (“MISO”), which includes members from MAIN, ECAR and MAPP.  The implementation of the ISO would serve largely to eliminate the pancaking of rates by establishing a zonal pricing system.</w:t>
      </w:r>
    </w:p>
    <w:p>
      <w:pPr>
        <w:pStyle w:val="A0b"/>
        <w:numPr>
          <w:ilvl w:val="0"/>
          <w:numId w:val="6"/>
        </w:numPr>
        <w:ind w:hanging="0" w:start="0"/>
        <w:rPr>
          <w:rFonts w:ascii="Times New Roman" w:hAnsi="Times New Roman" w:cs="Times New Roman"/>
        </w:rPr>
      </w:pPr>
      <w:r>
        <w:rPr>
          <w:rFonts w:cs="Times New Roman" w:ascii="Times New Roman" w:hAnsi="Times New Roman"/>
        </w:rPr>
        <w:t>Members of the MISO include: Allegheny Power, Ameren, CILCO, Cinergy, Commonwealth Edison, Hoosier Energy Rural Electric Cooperative, Illinois Power, Louisville Gas &amp; Electric, Wabash Valley Power, SIGECO, Alliant Energy, So. Illinois Power Cooperative, and Wisconsin Electric. A total of twelve transmission owners in the region are members of MISO. Recently, Northern States Power joined MISO expanding the organization into MAPP.</w:t>
      </w:r>
    </w:p>
    <w:p>
      <w:pPr>
        <w:pStyle w:val="A0b"/>
        <w:numPr>
          <w:ilvl w:val="0"/>
          <w:numId w:val="6"/>
        </w:numPr>
        <w:ind w:hanging="0" w:start="0"/>
        <w:rPr>
          <w:rFonts w:ascii="Times New Roman" w:hAnsi="Times New Roman" w:cs="Times New Roman"/>
        </w:rPr>
      </w:pPr>
      <w:r>
        <w:rPr>
          <w:rFonts w:cs="Times New Roman" w:ascii="Times New Roman" w:hAnsi="Times New Roman"/>
        </w:rPr>
        <w:t>Recently, members of MAPPCOR, the contractor that operates the Mid-Continental Power Pool (MAPP), agreed to sell its assets to MISO. The agreement will not be complete unless members representing two-thirds of the load in MAPP agree to join MISO.</w:t>
      </w:r>
    </w:p>
    <w:p>
      <w:pPr>
        <w:pStyle w:val="A0b"/>
        <w:numPr>
          <w:ilvl w:val="0"/>
          <w:numId w:val="6"/>
        </w:numPr>
        <w:ind w:hanging="0" w:start="0"/>
        <w:rPr>
          <w:rFonts w:ascii="Times New Roman" w:hAnsi="Times New Roman" w:cs="Times New Roman"/>
        </w:rPr>
      </w:pPr>
      <w:r>
        <w:rPr>
          <w:rFonts w:cs="Times New Roman" w:ascii="Times New Roman" w:hAnsi="Times New Roman"/>
        </w:rPr>
        <w:t>The pricing structure agreed to by the participants allows for a six year transition period, during which time the members of MISO are divided into zones existing at the time of filing the agreement.  For point-to-point transmission to a customer within the ISO, the rate charged will be the zonal rate where the load is located.</w:t>
      </w:r>
    </w:p>
    <w:p>
      <w:pPr>
        <w:pStyle w:val="A0b"/>
        <w:numPr>
          <w:ilvl w:val="0"/>
          <w:numId w:val="6"/>
        </w:numPr>
        <w:ind w:hanging="0" w:start="0"/>
        <w:rPr>
          <w:rFonts w:ascii="Times New Roman" w:hAnsi="Times New Roman" w:cs="Times New Roman"/>
        </w:rPr>
      </w:pPr>
      <w:r>
        <w:rPr>
          <w:rFonts w:cs="Times New Roman" w:ascii="Times New Roman" w:hAnsi="Times New Roman"/>
        </w:rPr>
        <w:t>For point-to-point transmission through the ISO or for point-to-point transmission out of the ISO, the rate charged will be a single system-wide ISO rate.</w:t>
      </w:r>
    </w:p>
    <w:p>
      <w:pPr>
        <w:pStyle w:val="A0b"/>
        <w:numPr>
          <w:ilvl w:val="0"/>
          <w:numId w:val="6"/>
        </w:numPr>
        <w:ind w:hanging="0" w:start="0"/>
        <w:rPr>
          <w:rFonts w:ascii="Times New Roman" w:hAnsi="Times New Roman" w:cs="Times New Roman"/>
        </w:rPr>
      </w:pPr>
      <w:r>
        <w:rPr>
          <w:rFonts w:cs="Times New Roman" w:ascii="Times New Roman" w:hAnsi="Times New Roman"/>
        </w:rPr>
        <w:t>After the transition period the zonal pricing structure may be retained or a single, MISO rate adopted.</w:t>
      </w:r>
    </w:p>
    <w:p>
      <w:pPr>
        <w:pStyle w:val="A0b"/>
        <w:numPr>
          <w:ilvl w:val="0"/>
          <w:numId w:val="6"/>
        </w:numPr>
        <w:ind w:hanging="0" w:start="0"/>
        <w:rPr>
          <w:rFonts w:ascii="Times New Roman" w:hAnsi="Times New Roman" w:cs="Times New Roman"/>
        </w:rPr>
      </w:pPr>
      <w:r>
        <w:rPr>
          <w:rFonts w:cs="Times New Roman" w:ascii="Times New Roman" w:hAnsi="Times New Roman"/>
        </w:rPr>
        <w:t>More recently Commonwealth Edison, Mid American Energy, Interstate Power and IES Utilities have proposed forming a for-profit independent transmission company (ITC) within the jurisdiction of MISO. They have filed their plan with FERC in December 1999 and the proposal is pending review. The proposed ITC would have a governing body independent of buyers and sellers and any major rate-funded transmission expansion would need to be approved by MISO.</w:t>
      </w:r>
    </w:p>
    <w:p>
      <w:pPr>
        <w:pStyle w:val="A0b"/>
        <w:numPr>
          <w:ilvl w:val="0"/>
          <w:numId w:val="6"/>
        </w:numPr>
        <w:ind w:hanging="0" w:start="0"/>
        <w:rPr>
          <w:rFonts w:ascii="Times New Roman" w:hAnsi="Times New Roman" w:cs="Times New Roman"/>
        </w:rPr>
      </w:pPr>
      <w:r>
        <w:rPr>
          <w:rFonts w:cs="Times New Roman" w:ascii="Times New Roman" w:hAnsi="Times New Roman"/>
        </w:rPr>
        <w:t>Currently negotiations are underway to expand MISO to include SPP.  This expansion is targeted to include both the northern and western sections of SPP.</w:t>
      </w:r>
    </w:p>
    <w:p>
      <w:pPr>
        <w:pStyle w:val="A0b"/>
        <w:numPr>
          <w:ilvl w:val="0"/>
          <w:numId w:val="0"/>
        </w:numPr>
        <w:ind w:hanging="0" w:start="1800" w:end="0"/>
        <w:rPr>
          <w:rFonts w:ascii="Times New Roman" w:hAnsi="Times New Roman" w:cs="Times New Roman"/>
        </w:rPr>
      </w:pPr>
      <w:r>
        <w:rPr>
          <w:rFonts w:cs="Times New Roman" w:ascii="Times New Roman" w:hAnsi="Times New Roman"/>
        </w:rPr>
      </w:r>
    </w:p>
    <w:p>
      <w:pPr>
        <w:pStyle w:val="A0b"/>
        <w:numPr>
          <w:ilvl w:val="0"/>
          <w:numId w:val="0"/>
        </w:numPr>
        <w:ind w:hanging="360" w:start="2160" w:end="0"/>
        <w:rPr>
          <w:rFonts w:ascii="Times New Roman" w:hAnsi="Times New Roman" w:cs="Times New Roman"/>
        </w:rPr>
      </w:pPr>
      <w:r>
        <w:rPr>
          <w:rFonts w:cs="Times New Roman" w:ascii="Times New Roman" w:hAnsi="Times New Roman"/>
        </w:rPr>
      </w:r>
    </w:p>
    <w:p>
      <w:pPr>
        <w:pStyle w:val="A0b"/>
        <w:numPr>
          <w:ilvl w:val="0"/>
          <w:numId w:val="0"/>
        </w:numPr>
        <w:ind w:hanging="360" w:start="2160" w:end="0"/>
        <w:rPr>
          <w:rFonts w:ascii="Times New Roman" w:hAnsi="Times New Roman" w:cs="Times New Roman"/>
        </w:rPr>
      </w:pPr>
      <w:r>
        <w:rPr>
          <w:rFonts w:cs="Times New Roman" w:ascii="Times New Roman" w:hAnsi="Times New Roman"/>
        </w:rPr>
      </w:r>
    </w:p>
    <w:p>
      <w:pPr>
        <w:pStyle w:val="HdLet0"/>
        <w:rPr>
          <w:rFonts w:ascii="Times New Roman" w:hAnsi="Times New Roman" w:cs="Times New Roman"/>
        </w:rPr>
      </w:pPr>
      <w:r>
        <w:drawing>
          <wp:anchor behindDoc="0" distT="0" distB="0" distL="114935" distR="114935" simplePos="0" locked="0" layoutInCell="0" allowOverlap="1" relativeHeight="30">
            <wp:simplePos x="0" y="0"/>
            <wp:positionH relativeFrom="column">
              <wp:posOffset>330835</wp:posOffset>
            </wp:positionH>
            <wp:positionV relativeFrom="paragraph">
              <wp:posOffset>125730</wp:posOffset>
            </wp:positionV>
            <wp:extent cx="4810125" cy="3714750"/>
            <wp:effectExtent l="0" t="0" r="0" b="0"/>
            <wp:wrapTopAndBottom/>
            <wp:docPr id="2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 descr="" title=""/>
                    <pic:cNvPicPr>
                      <a:picLocks noChangeAspect="1" noChangeArrowheads="1"/>
                    </pic:cNvPicPr>
                  </pic:nvPicPr>
                  <pic:blipFill>
                    <a:blip r:embed="rId43"/>
                    <a:srcRect l="-7" t="-10" r="-7" b="-10"/>
                    <a:stretch>
                      <a:fillRect/>
                    </a:stretch>
                  </pic:blipFill>
                  <pic:spPr bwMode="auto">
                    <a:xfrm>
                      <a:off x="0" y="0"/>
                      <a:ext cx="4810125" cy="3714750"/>
                    </a:xfrm>
                    <a:prstGeom prst="rect">
                      <a:avLst/>
                    </a:prstGeom>
                    <a:noFill/>
                  </pic:spPr>
                </pic:pic>
              </a:graphicData>
            </a:graphic>
          </wp:anchor>
        </w:drawing>
      </w:r>
      <w:r>
        <w:rPr>
          <w:rFonts w:cs="Times New Roman" w:ascii="Times New Roman" w:hAnsi="Times New Roman"/>
          <w:b w:val="false"/>
          <w:sz w:val="20"/>
        </w:rPr>
        <w:t>source: www.midwestiso.com</w:t>
      </w:r>
    </w:p>
    <w:p>
      <w:pPr>
        <w:pStyle w:val="HdLet0"/>
        <w:numPr>
          <w:ilvl w:val="0"/>
          <w:numId w:val="0"/>
        </w:numPr>
        <w:spacing w:before="0" w:after="0"/>
        <w:ind w:hanging="720" w:start="1440"/>
        <w:outlineLvl w:val="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B.</w:t>
        <w:tab/>
        <w:t>Alliance RTO</w:t>
      </w:r>
    </w:p>
    <w:p>
      <w:pPr>
        <w:pStyle w:val="A0b"/>
        <w:numPr>
          <w:ilvl w:val="0"/>
          <w:numId w:val="6"/>
        </w:numPr>
        <w:ind w:hanging="0" w:start="0"/>
        <w:rPr>
          <w:rFonts w:ascii="Times New Roman" w:hAnsi="Times New Roman" w:cs="Times New Roman"/>
        </w:rPr>
      </w:pPr>
      <w:r>
        <w:rPr>
          <w:rFonts w:cs="Times New Roman" w:ascii="Times New Roman" w:hAnsi="Times New Roman"/>
        </w:rPr>
        <w:t>A competing ISO-type regional transmission organization (“RTO”) is under development by companies in ECAR and VACAR.</w:t>
      </w:r>
    </w:p>
    <w:p>
      <w:pPr>
        <w:pStyle w:val="A0b"/>
        <w:numPr>
          <w:ilvl w:val="0"/>
          <w:numId w:val="6"/>
        </w:numPr>
        <w:ind w:hanging="0" w:start="0"/>
        <w:rPr>
          <w:rFonts w:ascii="Times New Roman" w:hAnsi="Times New Roman" w:cs="Times New Roman"/>
        </w:rPr>
      </w:pPr>
      <w:r>
        <w:rPr>
          <w:rFonts w:cs="Times New Roman" w:ascii="Times New Roman" w:hAnsi="Times New Roman"/>
        </w:rPr>
        <w:t>Discussions with multiple parties have been ongoing since early 1998.  The Alliance is currently in Phase III.</w:t>
      </w:r>
    </w:p>
    <w:p>
      <w:pPr>
        <w:pStyle w:val="A0b"/>
        <w:numPr>
          <w:ilvl w:val="0"/>
          <w:numId w:val="6"/>
        </w:numPr>
        <w:ind w:hanging="0" w:start="0"/>
        <w:rPr>
          <w:rFonts w:ascii="Times New Roman" w:hAnsi="Times New Roman" w:cs="Times New Roman"/>
        </w:rPr>
      </w:pPr>
      <w:r>
        <w:rPr>
          <w:rFonts w:cs="Times New Roman" w:ascii="Times New Roman" w:hAnsi="Times New Roman"/>
        </w:rPr>
        <w:t>Currently, five companies have agreed to develop a FERC filing:</w:t>
      </w:r>
    </w:p>
    <w:p>
      <w:pPr>
        <w:pStyle w:val="B0bbox"/>
        <w:numPr>
          <w:ilvl w:val="0"/>
          <w:numId w:val="10"/>
        </w:numPr>
        <w:rPr>
          <w:rFonts w:ascii="Times New Roman" w:hAnsi="Times New Roman" w:cs="Times New Roman"/>
        </w:rPr>
      </w:pPr>
      <w:r>
        <w:rPr>
          <w:rFonts w:cs="Times New Roman" w:ascii="Times New Roman" w:hAnsi="Times New Roman"/>
        </w:rPr>
        <w:t>AEP</w:t>
      </w:r>
    </w:p>
    <w:p>
      <w:pPr>
        <w:pStyle w:val="B0bbox"/>
        <w:numPr>
          <w:ilvl w:val="0"/>
          <w:numId w:val="10"/>
        </w:numPr>
        <w:rPr>
          <w:rFonts w:ascii="Times New Roman" w:hAnsi="Times New Roman" w:cs="Times New Roman"/>
        </w:rPr>
      </w:pPr>
      <w:r>
        <w:rPr>
          <w:rFonts w:cs="Times New Roman" w:ascii="Times New Roman" w:hAnsi="Times New Roman"/>
        </w:rPr>
        <w:t>First Energy</w:t>
      </w:r>
    </w:p>
    <w:p>
      <w:pPr>
        <w:pStyle w:val="B0bbox"/>
        <w:numPr>
          <w:ilvl w:val="0"/>
          <w:numId w:val="10"/>
        </w:numPr>
        <w:rPr>
          <w:rFonts w:ascii="Times New Roman" w:hAnsi="Times New Roman" w:cs="Times New Roman"/>
        </w:rPr>
      </w:pPr>
      <w:r>
        <w:rPr>
          <w:rFonts w:cs="Times New Roman" w:ascii="Times New Roman" w:hAnsi="Times New Roman"/>
        </w:rPr>
        <w:t>Consumers Power</w:t>
      </w:r>
    </w:p>
    <w:p>
      <w:pPr>
        <w:pStyle w:val="B0bbox"/>
        <w:numPr>
          <w:ilvl w:val="0"/>
          <w:numId w:val="10"/>
        </w:numPr>
        <w:rPr>
          <w:rFonts w:ascii="Times New Roman" w:hAnsi="Times New Roman" w:cs="Times New Roman"/>
        </w:rPr>
      </w:pPr>
      <w:r>
        <w:rPr>
          <w:rFonts w:cs="Times New Roman" w:ascii="Times New Roman" w:hAnsi="Times New Roman"/>
        </w:rPr>
        <w:t>Detroit Edison</w:t>
      </w:r>
    </w:p>
    <w:p>
      <w:pPr>
        <w:pStyle w:val="B0bbox"/>
        <w:numPr>
          <w:ilvl w:val="0"/>
          <w:numId w:val="10"/>
        </w:numPr>
        <w:rPr>
          <w:rFonts w:ascii="Times New Roman" w:hAnsi="Times New Roman" w:cs="Times New Roman"/>
        </w:rPr>
      </w:pPr>
      <w:r>
        <w:rPr>
          <w:rFonts w:cs="Times New Roman" w:ascii="Times New Roman" w:hAnsi="Times New Roman"/>
        </w:rPr>
        <w:t>Virginia Power</w:t>
      </w:r>
    </w:p>
    <w:p>
      <w:pPr>
        <w:pStyle w:val="A0b"/>
        <w:numPr>
          <w:ilvl w:val="0"/>
          <w:numId w:val="6"/>
        </w:numPr>
        <w:ind w:hanging="0" w:start="0"/>
        <w:rPr>
          <w:rFonts w:ascii="Times New Roman" w:hAnsi="Times New Roman" w:cs="Times New Roman"/>
        </w:rPr>
      </w:pPr>
      <w:r>
        <w:rPr>
          <w:rFonts w:cs="Times New Roman" w:ascii="Times New Roman" w:hAnsi="Times New Roman"/>
          <w:color w:val="000000"/>
        </w:rPr>
        <w:t>The exact form of the RTO (full ISO or Transco) will remain flexible.</w:t>
      </w:r>
    </w:p>
    <w:p>
      <w:pPr>
        <w:pStyle w:val="Normal"/>
        <w:numPr>
          <w:ilvl w:val="0"/>
          <w:numId w:val="4"/>
        </w:numPr>
        <w:tabs>
          <w:tab w:val="clear" w:pos="720"/>
          <w:tab w:val="left" w:pos="2520" w:leader="none"/>
        </w:tabs>
        <w:ind w:hanging="360" w:start="2880" w:end="0"/>
        <w:rPr>
          <w:color w:val="000000"/>
        </w:rPr>
      </w:pPr>
      <w:r>
        <w:rPr>
          <w:color w:val="000000"/>
        </w:rPr>
        <w:t>If no one divests by day one of operations, the Alliance would function like a non-profit ISO.  If one or more members sells transmission assets into the Alliance, the RTO would automatically become a transmission company.</w:t>
      </w:r>
    </w:p>
    <w:p>
      <w:pPr>
        <w:pStyle w:val="Normal"/>
        <w:numPr>
          <w:ilvl w:val="0"/>
          <w:numId w:val="4"/>
        </w:numPr>
        <w:tabs>
          <w:tab w:val="clear" w:pos="720"/>
          <w:tab w:val="left" w:pos="2520" w:leader="none"/>
        </w:tabs>
        <w:ind w:hanging="360" w:start="2880" w:end="0"/>
        <w:rPr>
          <w:color w:val="000000"/>
        </w:rPr>
      </w:pPr>
      <w:r>
        <w:rPr>
          <w:color w:val="000000"/>
        </w:rPr>
        <w:t xml:space="preserve">Members can sign an operational agreement with the Alliance relinquishing control of transmission assets, or sell or lease assets to the Alliance.  </w:t>
      </w:r>
    </w:p>
    <w:p>
      <w:pPr>
        <w:pStyle w:val="Normal"/>
        <w:numPr>
          <w:ilvl w:val="0"/>
          <w:numId w:val="4"/>
        </w:numPr>
        <w:tabs>
          <w:tab w:val="clear" w:pos="720"/>
          <w:tab w:val="left" w:pos="2520" w:leader="none"/>
        </w:tabs>
        <w:ind w:hanging="360" w:start="2880" w:end="0"/>
        <w:rPr>
          <w:color w:val="000000"/>
        </w:rPr>
      </w:pPr>
      <w:r>
        <w:rPr>
          <w:color w:val="000000"/>
        </w:rPr>
        <w:t xml:space="preserve">The proposed pricing structure includes a transition period in which each member’s existing transmission system would comprise a zone.  </w:t>
      </w:r>
    </w:p>
    <w:p>
      <w:pPr>
        <w:pStyle w:val="Normal"/>
        <w:numPr>
          <w:ilvl w:val="0"/>
          <w:numId w:val="4"/>
        </w:numPr>
        <w:tabs>
          <w:tab w:val="clear" w:pos="720"/>
          <w:tab w:val="left" w:pos="2520" w:leader="none"/>
        </w:tabs>
        <w:ind w:hanging="360" w:start="2880" w:end="0"/>
        <w:rPr>
          <w:color w:val="000000"/>
        </w:rPr>
      </w:pPr>
      <w:r>
        <w:rPr>
          <w:color w:val="000000"/>
        </w:rPr>
        <w:t xml:space="preserve">Customers could pay one zone rate to access a zone and then would only pay another zone rate to access the entire RTO during the transition.  </w:t>
      </w:r>
    </w:p>
    <w:p>
      <w:pPr>
        <w:pStyle w:val="Normal"/>
        <w:numPr>
          <w:ilvl w:val="0"/>
          <w:numId w:val="4"/>
        </w:numPr>
        <w:tabs>
          <w:tab w:val="clear" w:pos="720"/>
          <w:tab w:val="left" w:pos="2520" w:leader="none"/>
        </w:tabs>
        <w:ind w:hanging="360" w:start="2880" w:end="0"/>
        <w:rPr>
          <w:color w:val="000000"/>
        </w:rPr>
      </w:pPr>
      <w:r>
        <w:rPr>
          <w:color w:val="000000"/>
        </w:rPr>
        <w:t>Eventually, the Alliance seeks to offer a single, grid-wide rate, perhaps in six years or when all transmission owners join.</w:t>
      </w:r>
    </w:p>
    <w:p>
      <w:pPr>
        <w:pStyle w:val="Normal"/>
        <w:numPr>
          <w:ilvl w:val="0"/>
          <w:numId w:val="4"/>
        </w:numPr>
        <w:tabs>
          <w:tab w:val="clear" w:pos="720"/>
          <w:tab w:val="left" w:pos="2520" w:leader="none"/>
        </w:tabs>
        <w:ind w:hanging="360" w:start="2880" w:end="0"/>
        <w:rPr>
          <w:color w:val="000000"/>
        </w:rPr>
      </w:pPr>
      <w:r>
        <w:rPr>
          <w:color w:val="000000"/>
        </w:rPr>
        <w:t>With FERC approval, the Alliance would also develop and propose incentive rates.</w:t>
      </w:r>
    </w:p>
    <w:p>
      <w:pPr>
        <w:pStyle w:val="A0b"/>
        <w:numPr>
          <w:ilvl w:val="0"/>
          <w:numId w:val="0"/>
        </w:numPr>
        <w:ind w:hanging="360" w:start="2160" w:end="0"/>
        <w:rPr>
          <w:rFonts w:ascii="Times New Roman" w:hAnsi="Times New Roman" w:cs="Times New Roman"/>
          <w:color w:val="000000"/>
        </w:rPr>
      </w:pPr>
      <w:r>
        <w:rPr>
          <w:rFonts w:cs="Times New Roman" w:ascii="Times New Roman" w:hAnsi="Times New Roman"/>
          <w:color w:val="000000"/>
        </w:rPr>
      </w:r>
    </w:p>
    <w:p>
      <w:pPr>
        <w:pStyle w:val="A0b"/>
        <w:numPr>
          <w:ilvl w:val="0"/>
          <w:numId w:val="6"/>
        </w:numPr>
        <w:ind w:hanging="0" w:start="0"/>
        <w:rPr>
          <w:rFonts w:ascii="Times New Roman" w:hAnsi="Times New Roman" w:cs="Times New Roman"/>
        </w:rPr>
      </w:pPr>
      <w:r>
        <w:rPr>
          <w:rFonts w:cs="Times New Roman" w:ascii="Times New Roman" w:hAnsi="Times New Roman"/>
        </w:rPr>
        <w:t>The Alliance RTO is expected to file with FERC within the year.</w:t>
      </w:r>
    </w:p>
    <w:p>
      <w:pPr>
        <w:pStyle w:val="A0b"/>
        <w:numPr>
          <w:ilvl w:val="0"/>
          <w:numId w:val="0"/>
        </w:numPr>
        <w:ind w:hanging="0" w:start="0"/>
        <w:rPr>
          <w:rFonts w:ascii="Times New Roman" w:hAnsi="Times New Roman" w:cs="Times New Roman"/>
        </w:rPr>
      </w:pPr>
      <w:r>
        <w:drawing>
          <wp:anchor behindDoc="0" distT="0" distB="0" distL="114935" distR="114935" simplePos="0" locked="0" layoutInCell="0" allowOverlap="1" relativeHeight="35">
            <wp:simplePos x="0" y="0"/>
            <wp:positionH relativeFrom="column">
              <wp:posOffset>434340</wp:posOffset>
            </wp:positionH>
            <wp:positionV relativeFrom="paragraph">
              <wp:posOffset>350520</wp:posOffset>
            </wp:positionV>
            <wp:extent cx="5143500" cy="3962400"/>
            <wp:effectExtent l="0" t="0" r="0" b="0"/>
            <wp:wrapTopAndBottom/>
            <wp:docPr id="2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 descr="" title=""/>
                    <pic:cNvPicPr>
                      <a:picLocks noChangeAspect="1" noChangeArrowheads="1"/>
                    </pic:cNvPicPr>
                  </pic:nvPicPr>
                  <pic:blipFill>
                    <a:blip r:embed="rId44"/>
                    <a:srcRect l="-7" t="-9" r="-7" b="-9"/>
                    <a:stretch>
                      <a:fillRect/>
                    </a:stretch>
                  </pic:blipFill>
                  <pic:spPr bwMode="auto">
                    <a:xfrm>
                      <a:off x="0" y="0"/>
                      <a:ext cx="5143500" cy="3962400"/>
                    </a:xfrm>
                    <a:prstGeom prst="rect">
                      <a:avLst/>
                    </a:prstGeom>
                    <a:noFill/>
                  </pic:spPr>
                </pic:pic>
              </a:graphicData>
            </a:graphic>
          </wp:anchor>
        </w:drawing>
      </w:r>
      <w:r>
        <w:rPr>
          <w:rFonts w:cs="Times New Roman" w:ascii="Times New Roman" w:hAnsi="Times New Roman"/>
        </w:rPr>
        <w:tab/>
      </w:r>
    </w:p>
    <w:p>
      <w:pPr>
        <w:pStyle w:val="A0b"/>
        <w:numPr>
          <w:ilvl w:val="0"/>
          <w:numId w:val="0"/>
        </w:numPr>
        <w:ind w:hanging="0" w:start="0"/>
        <w:rPr>
          <w:rFonts w:ascii="Times New Roman" w:hAnsi="Times New Roman" w:cs="Times New Roman"/>
        </w:rPr>
      </w:pPr>
      <w:r>
        <w:rPr>
          <w:rFonts w:cs="Times New Roman" w:ascii="Times New Roman" w:hAnsi="Times New Roman"/>
        </w:rPr>
      </w:r>
    </w:p>
    <w:p>
      <w:pPr>
        <w:pStyle w:val="A0b"/>
        <w:numPr>
          <w:ilvl w:val="0"/>
          <w:numId w:val="0"/>
        </w:numPr>
        <w:ind w:hanging="0" w:start="72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source:  </w:t>
      </w:r>
      <w:hyperlink r:id="rId45">
        <w:r>
          <w:rPr>
            <w:rStyle w:val="Hyperlink"/>
            <w:rFonts w:cs="Times New Roman" w:ascii="Times New Roman" w:hAnsi="Times New Roman"/>
          </w:rPr>
          <w:t>www.alliancerto.com</w:t>
        </w:r>
      </w:hyperlink>
      <w:r>
        <w:br w:type="page"/>
      </w:r>
    </w:p>
    <w:p>
      <w:pPr>
        <w:pStyle w:val="Normal"/>
        <w:ind w:start="720" w:end="0"/>
        <w:rPr>
          <w:rFonts w:ascii="Times New Roman" w:hAnsi="Times New Roman" w:cs="Times New Roman"/>
          <w:b/>
          <w:color w:val="000000"/>
          <w:sz w:val="40"/>
          <w:lang w:eastAsia="en-US"/>
        </w:rPr>
      </w:pPr>
      <w:r>
        <w:rPr>
          <w:rFonts w:cs="Times New Roman"/>
          <w:b/>
          <w:color w:val="000000"/>
          <w:sz w:val="40"/>
          <w:lang w:eastAsia="en-US"/>
        </w:rPr>
      </w:r>
    </w:p>
    <w:p>
      <w:pPr>
        <w:pStyle w:val="Normal"/>
        <w:ind w:start="720" w:end="0"/>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ind w:hanging="540" w:start="540" w:end="0"/>
        <w:rPr>
          <w:b/>
          <w:color w:val="000000"/>
          <w:sz w:val="28"/>
          <w:lang w:eastAsia="en-US"/>
        </w:rPr>
      </w:pPr>
      <w:r>
        <w:rPr>
          <w:b/>
          <w:color w:val="000000"/>
          <w:sz w:val="28"/>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sz w:val="36"/>
          <w:lang w:eastAsia="en-US"/>
        </w:rPr>
      </w:pPr>
      <w:r>
        <w:rPr>
          <w:b/>
          <w:sz w:val="36"/>
          <w:lang w:eastAsia="en-US"/>
        </w:rPr>
      </w:r>
    </w:p>
    <w:p>
      <w:pPr>
        <w:pStyle w:val="Normal"/>
        <w:rPr>
          <w:b/>
          <w:sz w:val="36"/>
          <w:lang w:eastAsia="en-US"/>
        </w:rPr>
      </w:pPr>
      <w:r>
        <w:rPr>
          <w:b/>
          <w:sz w:val="36"/>
          <w:lang w:eastAsia="en-US"/>
        </w:rPr>
      </w:r>
    </w:p>
    <w:p>
      <w:pPr>
        <w:pStyle w:val="BodyText3"/>
        <w:ind w:hanging="720" w:start="1440" w:end="0"/>
        <w:rPr/>
      </w:pPr>
      <w:r>
        <w:rPr/>
        <w:t>3.</w:t>
        <w:tab/>
        <w:t>S&amp;P’s Write-up of Enron Generation Company</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ind w:hanging="0" w:start="0"/>
        <w:rPr/>
      </w:pPr>
      <w:r>
        <w:rPr/>
        <w:t>ENRON GENERATION COMPANY, LLC</w:t>
      </w:r>
    </w:p>
    <w:p>
      <w:pPr>
        <w:pStyle w:val="Normal"/>
        <w:rPr/>
      </w:pPr>
      <w:r>
        <w:rPr/>
      </w:r>
    </w:p>
    <w:p>
      <w:pPr>
        <w:pStyle w:val="Normal"/>
        <w:rPr>
          <w:sz w:val="22"/>
        </w:rPr>
      </w:pPr>
      <w:r>
        <w:rPr>
          <w:sz w:val="22"/>
        </w:rPr>
        <w:t>Analysts: Jeffrey Wolinsky, CFA, New York (1) 212-438-2117</w:t>
      </w:r>
    </w:p>
    <w:p>
      <w:pPr>
        <w:pStyle w:val="Normal"/>
        <w:ind w:start="720" w:end="0"/>
        <w:rPr>
          <w:sz w:val="22"/>
        </w:rPr>
      </w:pPr>
      <w:r>
        <w:rPr>
          <w:sz w:val="22"/>
        </w:rPr>
        <w:t xml:space="preserve">   </w:t>
      </w:r>
      <w:r>
        <w:rPr>
          <w:sz w:val="22"/>
        </w:rPr>
        <w:t>Peter Rigby, New York (1) 212-438-2085</w:t>
      </w:r>
    </w:p>
    <w:p>
      <w:pPr>
        <w:pStyle w:val="Normal"/>
        <w:rPr>
          <w:sz w:val="22"/>
        </w:rPr>
      </w:pPr>
      <w:r>
        <w:rPr>
          <w:sz w:val="22"/>
        </w:rPr>
      </w:r>
    </w:p>
    <w:p>
      <w:pPr>
        <w:pStyle w:val="Normal"/>
        <w:rPr/>
      </w:pPr>
      <w:r>
        <w:rPr>
          <w:b/>
          <w:sz w:val="22"/>
        </w:rPr>
        <w:t>RATING ASSIGNED:</w:t>
        <w:tab/>
      </w:r>
      <w:r>
        <w:rPr>
          <w:sz w:val="22"/>
        </w:rPr>
        <w:t>BB+ (Confidential)</w:t>
      </w:r>
    </w:p>
    <w:p>
      <w:pPr>
        <w:pStyle w:val="Normal"/>
        <w:rPr>
          <w:sz w:val="22"/>
        </w:rPr>
      </w:pPr>
      <w:r>
        <w:rPr>
          <w:sz w:val="22"/>
        </w:rPr>
      </w:r>
    </w:p>
    <w:p>
      <w:pPr>
        <w:pStyle w:val="Normal"/>
        <w:rPr/>
      </w:pPr>
      <w:r>
        <w:rPr>
          <w:b/>
          <w:sz w:val="22"/>
        </w:rPr>
        <w:t>DATE:</w:t>
      </w:r>
      <w:r>
        <w:rPr>
          <w:sz w:val="22"/>
        </w:rPr>
        <w:tab/>
        <w:tab/>
        <w:tab/>
        <w:t>November 3, 1999</w:t>
      </w:r>
    </w:p>
    <w:p>
      <w:pPr>
        <w:pStyle w:val="Normal"/>
        <w:rPr>
          <w:sz w:val="22"/>
        </w:rPr>
      </w:pPr>
      <w:r>
        <w:rPr>
          <w:sz w:val="22"/>
        </w:rPr>
      </w:r>
    </w:p>
    <w:p>
      <w:pPr>
        <w:pStyle w:val="Normal"/>
        <w:rPr/>
      </w:pPr>
      <w:r>
        <w:rPr>
          <w:b/>
          <w:sz w:val="22"/>
        </w:rPr>
        <w:t>OUTLOOK:</w:t>
        <w:tab/>
        <w:tab/>
      </w:r>
      <w:r>
        <w:rPr>
          <w:sz w:val="22"/>
        </w:rPr>
        <w:t>STABLE</w:t>
      </w:r>
    </w:p>
    <w:p>
      <w:pPr>
        <w:pStyle w:val="Normal"/>
        <w:rPr>
          <w:sz w:val="22"/>
        </w:rPr>
      </w:pPr>
      <w:r>
        <w:rPr>
          <w:sz w:val="22"/>
        </w:rPr>
      </w:r>
    </w:p>
    <w:p>
      <w:pPr>
        <w:pStyle w:val="Normal"/>
        <w:rPr>
          <w:sz w:val="22"/>
        </w:rPr>
      </w:pPr>
      <w:r>
        <w:rPr>
          <w:sz w:val="22"/>
        </w:rPr>
        <w:tab/>
        <w:tab/>
        <w:tab/>
        <w:t xml:space="preserve">  $775 million senior secured bonds to be issued in three tranches:</w:t>
      </w:r>
    </w:p>
    <w:p>
      <w:pPr>
        <w:pStyle w:val="Normal"/>
        <w:rPr>
          <w:sz w:val="22"/>
        </w:rPr>
      </w:pPr>
      <w:r>
        <w:rPr>
          <w:sz w:val="22"/>
        </w:rPr>
        <w:tab/>
        <w:tab/>
        <w:tab/>
        <w:t xml:space="preserve">  $100 million Tranche A bonds maturing in 2003</w:t>
      </w:r>
    </w:p>
    <w:p>
      <w:pPr>
        <w:pStyle w:val="Normal"/>
        <w:rPr>
          <w:sz w:val="22"/>
        </w:rPr>
      </w:pPr>
      <w:r>
        <w:rPr>
          <w:sz w:val="22"/>
        </w:rPr>
        <w:tab/>
        <w:tab/>
        <w:tab/>
        <w:t xml:space="preserve">  $200 million Tranche B bonds maturing in 2009</w:t>
      </w:r>
    </w:p>
    <w:p>
      <w:pPr>
        <w:pStyle w:val="Normal"/>
        <w:rPr>
          <w:sz w:val="22"/>
        </w:rPr>
      </w:pPr>
      <w:r>
        <w:rPr>
          <w:sz w:val="22"/>
        </w:rPr>
        <w:tab/>
        <w:tab/>
        <w:tab/>
        <w:t xml:space="preserve">  $475 million Tranche C bonds maturing in 2019</w:t>
      </w:r>
    </w:p>
    <w:p>
      <w:pPr>
        <w:pStyle w:val="Normal"/>
        <w:rPr>
          <w:sz w:val="22"/>
          <w:lang w:val="en-CA"/>
        </w:rPr>
      </w:pPr>
      <w:r>
        <w:rPr>
          <w:sz w:val="22"/>
          <w:lang w:val="en-CA"/>
        </w:rPr>
        <mc:AlternateContent>
          <mc:Choice Requires="wps">
            <w:drawing>
              <wp:anchor behindDoc="0" distT="0" distB="0" distL="114935" distR="114935" simplePos="0" locked="0" layoutInCell="1" allowOverlap="1" relativeHeight="40">
                <wp:simplePos x="0" y="0"/>
                <wp:positionH relativeFrom="column">
                  <wp:posOffset>-45720</wp:posOffset>
                </wp:positionH>
                <wp:positionV relativeFrom="paragraph">
                  <wp:posOffset>113030</wp:posOffset>
                </wp:positionV>
                <wp:extent cx="5486400" cy="0"/>
                <wp:effectExtent l="0" t="14605" r="0" b="14605"/>
                <wp:wrapNone/>
                <wp:docPr id="27" name=""/>
                <a:graphic xmlns:a="http://schemas.openxmlformats.org/drawingml/2006/main">
                  <a:graphicData uri="http://schemas.microsoft.com/office/word/2010/wordprocessingShape">
                    <wps:wsp>
                      <wps:cNvSpPr/>
                      <wps:spPr>
                        <a:xfrm>
                          <a:off x="0" y="0"/>
                          <a:ext cx="5486400" cy="0"/>
                        </a:xfrm>
                        <a:prstGeom prst="line">
                          <a:avLst/>
                        </a:prstGeom>
                        <a:ln w="28440">
                          <a:solidFill>
                            <a:srgbClr val="000000"/>
                          </a:solidFill>
                          <a:miter/>
                        </a:ln>
                      </wps:spPr>
                      <wps:style>
                        <a:lnRef idx="0"/>
                        <a:fillRef idx="0"/>
                        <a:effectRef idx="0"/>
                        <a:fontRef idx="minor"/>
                      </wps:style>
                      <wps:bodyPr/>
                    </wps:wsp>
                  </a:graphicData>
                </a:graphic>
              </wp:anchor>
            </w:drawing>
          </mc:Choice>
          <mc:Fallback>
            <w:pict>
              <v:line id="shape_0" from="-3.6pt,8.9pt" to="428.35pt,8.9pt" stroked="t" o:allowincell="f" style="position:absolute">
                <v:stroke color="black" weight="28440" joinstyle="miter" endcap="flat"/>
                <v:fill o:detectmouseclick="t" on="false"/>
                <w10:wrap type="none"/>
              </v:line>
            </w:pict>
          </mc:Fallback>
        </mc:AlternateContent>
      </w:r>
    </w:p>
    <w:p>
      <w:pPr>
        <w:pStyle w:val="Normal"/>
        <w:rPr>
          <w:sz w:val="22"/>
        </w:rPr>
      </w:pPr>
      <w:r>
        <w:rPr>
          <w:sz w:val="22"/>
        </w:rPr>
      </w:r>
    </w:p>
    <w:p>
      <w:pPr>
        <w:pStyle w:val="Normal"/>
        <w:rPr>
          <w:b/>
          <w:sz w:val="22"/>
        </w:rPr>
      </w:pPr>
      <w:r>
        <w:rPr>
          <w:b/>
          <w:sz w:val="22"/>
        </w:rPr>
        <w:t>RATIONALE:</w:t>
      </w:r>
    </w:p>
    <w:p>
      <w:pPr>
        <w:pStyle w:val="Normal"/>
        <w:rPr>
          <w:b/>
          <w:sz w:val="22"/>
        </w:rPr>
      </w:pPr>
      <w:r>
        <w:rPr>
          <w:b/>
          <w:sz w:val="22"/>
        </w:rPr>
      </w:r>
    </w:p>
    <w:p>
      <w:pPr>
        <w:pStyle w:val="Normal"/>
        <w:rPr>
          <w:sz w:val="22"/>
        </w:rPr>
      </w:pPr>
      <w:r>
        <w:rPr>
          <w:sz w:val="22"/>
        </w:rPr>
        <w:t>Standard &amp; Poor’s assigned a BB+ rating (Confidential) to Enron Generation Company, LLC’s (EGC), $775 million senior secured bonds.  EGC owns a 99% limited partnership interest in six natural gas-fired simple-cycle power plants, with a capability of 3,159 MW located in Tennessee, Mississippi, Kentucky, Indiana and Illinois.  About half of the facilities are in commercial operation and the other half are expected to be in service by July 2000.  The rating reflects the following risks:</w:t>
      </w:r>
    </w:p>
    <w:p>
      <w:pPr>
        <w:pStyle w:val="Normal"/>
        <w:rPr>
          <w:sz w:val="22"/>
        </w:rPr>
      </w:pPr>
      <w:r>
        <w:rPr>
          <w:sz w:val="22"/>
        </w:rPr>
      </w:r>
    </w:p>
    <w:p>
      <w:pPr>
        <w:pStyle w:val="Normal"/>
        <w:numPr>
          <w:ilvl w:val="0"/>
          <w:numId w:val="18"/>
        </w:numPr>
        <w:rPr>
          <w:i/>
          <w:i/>
          <w:sz w:val="22"/>
        </w:rPr>
      </w:pPr>
      <w:r>
        <w:rPr>
          <w:sz w:val="22"/>
        </w:rPr>
        <w:t>Merchant risk under the power purchase agreement (PPA) during the market price period (2004-2019).  Because the facilities are defined as peaking facilities, they rely on capacity revenues for cash flow stability.  Average prices for capacity are expected to be much more volatile than average prices for electricity.</w:t>
      </w:r>
    </w:p>
    <w:p>
      <w:pPr>
        <w:pStyle w:val="Normal"/>
        <w:numPr>
          <w:ilvl w:val="0"/>
          <w:numId w:val="18"/>
        </w:numPr>
        <w:rPr>
          <w:i/>
          <w:i/>
          <w:sz w:val="22"/>
        </w:rPr>
      </w:pPr>
      <w:r>
        <w:rPr>
          <w:sz w:val="22"/>
        </w:rPr>
        <w:t>The inability of the project to enter into sales agreements during the market price period in excess of five years.  Short-term sales agreements increase cash flow volatility and increase risk for bondholders.</w:t>
      </w:r>
    </w:p>
    <w:p>
      <w:pPr>
        <w:pStyle w:val="Normal"/>
        <w:numPr>
          <w:ilvl w:val="0"/>
          <w:numId w:val="18"/>
        </w:numPr>
        <w:rPr>
          <w:i/>
          <w:i/>
          <w:sz w:val="22"/>
        </w:rPr>
      </w:pPr>
      <w:r>
        <w:rPr>
          <w:sz w:val="22"/>
        </w:rPr>
        <w:t xml:space="preserve">An auction process under the PPA that gives ECT the right, but not the obligation to purchase 70% of any block of power at the auction price.  Standard &amp; Poor’s concludes that the value of this option could be reflected through lower bid prices.  </w:t>
      </w:r>
    </w:p>
    <w:p>
      <w:pPr>
        <w:pStyle w:val="Normal"/>
        <w:numPr>
          <w:ilvl w:val="0"/>
          <w:numId w:val="18"/>
        </w:numPr>
        <w:rPr>
          <w:i/>
          <w:i/>
          <w:sz w:val="22"/>
        </w:rPr>
      </w:pPr>
      <w:r>
        <w:rPr>
          <w:sz w:val="22"/>
        </w:rPr>
        <w:t>A moderate amount of technology risk.  The turbines range from commercially proven models with significant operating history to new models with limited or no commercial history.  The mix also includes modified older turbine models with limited commercial history for the modifications.</w:t>
      </w:r>
    </w:p>
    <w:p>
      <w:pPr>
        <w:pStyle w:val="Normal"/>
        <w:rPr>
          <w:i/>
          <w:i/>
          <w:sz w:val="22"/>
        </w:rPr>
      </w:pPr>
      <w:r>
        <w:rPr>
          <w:i/>
          <w:sz w:val="22"/>
        </w:rPr>
      </w:r>
    </w:p>
    <w:p>
      <w:pPr>
        <w:pStyle w:val="Normal"/>
        <w:rPr>
          <w:sz w:val="22"/>
        </w:rPr>
      </w:pPr>
      <w:r>
        <w:rPr>
          <w:sz w:val="22"/>
        </w:rPr>
      </w:r>
    </w:p>
    <w:p>
      <w:pPr>
        <w:pStyle w:val="Normal"/>
        <w:rPr>
          <w:sz w:val="22"/>
        </w:rPr>
      </w:pPr>
      <w:r>
        <w:rPr>
          <w:sz w:val="22"/>
        </w:rPr>
        <w:t>The following strengths offset the risks at the BB+ level:</w:t>
      </w:r>
    </w:p>
    <w:p>
      <w:pPr>
        <w:pStyle w:val="Normal"/>
        <w:rPr>
          <w:sz w:val="22"/>
        </w:rPr>
      </w:pPr>
      <w:r>
        <w:rPr>
          <w:sz w:val="22"/>
        </w:rPr>
      </w:r>
    </w:p>
    <w:p>
      <w:pPr>
        <w:pStyle w:val="Normal"/>
        <w:numPr>
          <w:ilvl w:val="0"/>
          <w:numId w:val="7"/>
        </w:numPr>
        <w:rPr>
          <w:sz w:val="22"/>
        </w:rPr>
      </w:pPr>
      <w:r>
        <w:rPr>
          <w:sz w:val="22"/>
        </w:rPr>
        <w:t>Substantial liquidity in the form of a 12 month debt service reserve fund during the merchant period and a restrictive covenant package that limits distributions to equity participants.</w:t>
      </w:r>
    </w:p>
    <w:p>
      <w:pPr>
        <w:pStyle w:val="Normal"/>
        <w:numPr>
          <w:ilvl w:val="0"/>
          <w:numId w:val="7"/>
        </w:numPr>
        <w:rPr>
          <w:sz w:val="22"/>
        </w:rPr>
      </w:pPr>
      <w:r>
        <w:rPr>
          <w:sz w:val="22"/>
        </w:rPr>
        <w:t>The flexibility of the plants to deliver power into multiple market areas decreases their susceptibility to isolated regional problems.  The plants are all located on 500kV transmission lines and high pressure gas pipelines, which also mitigates deliverability constraints.</w:t>
      </w:r>
    </w:p>
    <w:p>
      <w:pPr>
        <w:pStyle w:val="Normal"/>
        <w:numPr>
          <w:ilvl w:val="0"/>
          <w:numId w:val="7"/>
        </w:numPr>
        <w:rPr>
          <w:sz w:val="22"/>
        </w:rPr>
      </w:pPr>
      <w:r>
        <w:rPr>
          <w:sz w:val="22"/>
        </w:rPr>
        <w:t xml:space="preserve">A demonstrated need for peaking capacity in the MAIN, ECAR and TVA market regions.  The combination of declining reserve margins and a disproportionate amount of base load capacity in each </w:t>
      </w:r>
    </w:p>
    <w:p>
      <w:pPr>
        <w:pStyle w:val="Normal"/>
        <w:numPr>
          <w:ilvl w:val="0"/>
          <w:numId w:val="7"/>
        </w:numPr>
        <w:rPr>
          <w:sz w:val="22"/>
        </w:rPr>
      </w:pPr>
      <w:r>
        <w:rPr>
          <w:sz w:val="22"/>
        </w:rPr>
        <w:t>The expertise of Enron as an energy marketer to obtain gas and sell the output of the plant during the merchant period (2004-2019).  Enron is the largest marketer of natural gas and electricity in the US.</w:t>
      </w:r>
    </w:p>
    <w:p>
      <w:pPr>
        <w:pStyle w:val="Normal"/>
        <w:numPr>
          <w:ilvl w:val="0"/>
          <w:numId w:val="7"/>
        </w:numPr>
        <w:rPr>
          <w:sz w:val="22"/>
        </w:rPr>
      </w:pPr>
      <w:r>
        <w:rPr>
          <w:sz w:val="22"/>
        </w:rPr>
        <w:t>Low construction risk.  Some of the 1999 facilities are in operation and all of the facilities are scheduled to be in operation by July 2000.</w:t>
      </w:r>
    </w:p>
    <w:p>
      <w:pPr>
        <w:pStyle w:val="Normal"/>
        <w:rPr>
          <w:sz w:val="22"/>
        </w:rPr>
      </w:pPr>
      <w:r>
        <w:rPr>
          <w:sz w:val="22"/>
        </w:rPr>
      </w:r>
    </w:p>
    <w:p>
      <w:pPr>
        <w:pStyle w:val="Normal"/>
        <w:rPr>
          <w:sz w:val="22"/>
        </w:rPr>
      </w:pPr>
      <w:r>
        <w:rPr>
          <w:sz w:val="22"/>
        </w:rPr>
      </w:r>
    </w:p>
    <w:p>
      <w:pPr>
        <w:pStyle w:val="Heading1"/>
        <w:ind w:hanging="0" w:start="0"/>
        <w:rPr/>
      </w:pPr>
      <w:r>
        <w:rPr/>
        <w:t>Outlook: STABLE</w:t>
      </w:r>
    </w:p>
    <w:p>
      <w:pPr>
        <w:pStyle w:val="Normal"/>
        <w:rPr>
          <w:b/>
        </w:rPr>
      </w:pPr>
      <w:r>
        <w:rPr>
          <w:b/>
        </w:rPr>
      </w:r>
    </w:p>
    <w:p>
      <w:pPr>
        <w:pStyle w:val="Normal"/>
        <w:rPr>
          <w:sz w:val="22"/>
        </w:rPr>
      </w:pPr>
      <w:r>
        <w:rPr>
          <w:sz w:val="22"/>
        </w:rPr>
        <w:t>The Stable outlook reflects the anticipated completion of the projects without significant delays.  The plants are expected to operate in accordance with the guarantees.  The anticipated volatility in revenues in conjunction with the fall-away provision of the debt service reserve fund (DSRF) make an upgrade to investment grade unlikely.  The additional six month debt service reserve fund requirement during the merchant period falls away if EGC has maintained an investment grade rating from Standard &amp; Poor’s for at least 2 years and Standard &amp; Poor’s affirms that the rating will not be downgraded because of the fall away.  Alternatively, a sustained depression in capacity prices during the merchant period could cause a downgrade.</w:t>
      </w:r>
    </w:p>
    <w:p>
      <w:pPr>
        <w:pStyle w:val="Normal"/>
        <w:rPr>
          <w:sz w:val="22"/>
        </w:rPr>
      </w:pPr>
      <w:r>
        <w:rPr>
          <w:sz w:val="22"/>
        </w:rPr>
      </w:r>
    </w:p>
    <w:sectPr>
      <w:headerReference w:type="default" r:id="rId46"/>
      <w:headerReference w:type="first" r:id="rId47"/>
      <w:footerReference w:type="default" r:id="rId48"/>
      <w:footerReference w:type="first" r:id="rId49"/>
      <w:footnotePr>
        <w:numFmt w:val="decimal"/>
      </w:footnotePr>
      <w:type w:val="nextPage"/>
      <w:pgSz w:w="12240" w:h="15840"/>
      <w:pgMar w:left="1440" w:right="1440" w:gutter="0" w:header="720" w:top="1872" w:footer="432" w:bottom="1440"/>
      <w:pgNumType w:fmt="decimal"/>
      <w:formProt w:val="false"/>
      <w:titlePg/>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 I don’t understand why this footnote is here – it has no impact on the average age if the units and would only be relevant if units were retired - MF</w:t>
      </w:r>
    </w:p>
  </w:comment>
  <w:comment w:id="1"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 Graphic should not reflect ties from Ontario to MAPP (neither should modeling).  If connection is to separate region, label as such – same for Southern Ecar</w:t>
      </w:r>
    </w:p>
  </w:comment>
  <w:comment w:id="3"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3:25:24 PM</w:t>
      </w:r>
    </w:p>
  </w:comment>
  <w:comment w:id="6"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3:25:48 PM</w:t>
      </w:r>
    </w:p>
  </w:comment>
  <w:comment w:id="8" w:author="EUS" w:date="0-00-00T00:00:00Z" w:initials="E">
    <w:p>
      <w:pPr>
        <w:overflowPunct w:val="false"/>
        <w:bidi w:val="0"/>
        <w:rPr/>
      </w:pPr>
      <w:r>
        <w:annotationRef/>
      </w:r>
      <w:r>
        <w:rPr>
          <w:rFonts w:ascii="Arial" w:hAnsi="Arial" w:eastAsia="Times New Roman" w:cs="Arial"/>
          <w:color w:val="auto"/>
          <w:sz w:val="20"/>
          <w:szCs w:val="20"/>
          <w:lang w:bidi="en-US" w:eastAsia="en-US" w:val="en-US"/>
        </w:rPr>
        <w:t>Discuss MAIN Entergy connection as well</w:t>
      </w:r>
    </w:p>
  </w:comment>
  <w:comment w:id="9"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not attached to table.  Add source.</w:t>
      </w:r>
    </w:p>
  </w:comment>
  <w:comment w:id="10" w:author="EUS" w:date="0-00-00T00:00:00Z" w:initials="E">
    <w:p>
      <w:pPr>
        <w:overflowPunct w:val="false"/>
        <w:bidi w:val="0"/>
        <w:rPr/>
      </w:pPr>
      <w:r>
        <w:annotationRef/>
      </w:r>
      <w:r>
        <w:rPr>
          <w:rFonts w:ascii="Arial" w:hAnsi="Arial" w:eastAsia="Times New Roman" w:cs="Arial"/>
          <w:color w:val="auto"/>
          <w:sz w:val="20"/>
          <w:szCs w:val="20"/>
          <w:lang w:bidi="en-US" w:eastAsia="en-US" w:val="en-US"/>
        </w:rPr>
        <w:t>Graphic should not have title separate form that in document</w:t>
      </w:r>
    </w:p>
  </w:comment>
  <w:comment w:id="11"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3:34:43 PM</w:t>
      </w:r>
    </w:p>
  </w:comment>
  <w:comment w:id="12" w:author="EUS" w:date="0-00-00T00:00:00Z" w:initials="E">
    <w:p>
      <w:pPr>
        <w:overflowPunct w:val="false"/>
        <w:bidi w:val="0"/>
        <w:rPr/>
      </w:pPr>
      <w:r>
        <w:annotationRef/>
      </w:r>
      <w:r>
        <w:rPr>
          <w:rFonts w:ascii="Arial" w:hAnsi="Arial" w:eastAsia="Times New Roman" w:cs="Arial"/>
          <w:color w:val="auto"/>
          <w:sz w:val="20"/>
          <w:szCs w:val="20"/>
          <w:lang w:bidi="en-US" w:eastAsia="en-US" w:val="en-US"/>
        </w:rPr>
        <w:t>Is the difference in total generation and net energy in above table due to energy sales, if so, we should note it.</w:t>
      </w:r>
    </w:p>
  </w:comment>
  <w:comment w:id="13"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and source to table</w:t>
      </w:r>
    </w:p>
  </w:comment>
  <w:comment w:id="14" w:author="EUS" w:date="0-00-00T00:00:00Z" w:initials="E">
    <w:p>
      <w:pPr>
        <w:overflowPunct w:val="false"/>
        <w:bidi w:val="0"/>
        <w:rPr/>
      </w:pPr>
      <w:r>
        <w:annotationRef/>
      </w:r>
      <w:r>
        <w:rPr>
          <w:rFonts w:ascii="Arial" w:hAnsi="Arial" w:eastAsia="Times New Roman" w:cs="Arial"/>
          <w:color w:val="auto"/>
          <w:sz w:val="20"/>
          <w:szCs w:val="20"/>
          <w:lang w:bidi="en-US" w:eastAsia="en-US" w:val="en-US"/>
        </w:rPr>
        <w:t>This again seems to be the weekly, what does the daily get to?</w:t>
      </w:r>
    </w:p>
  </w:comment>
  <w:comment w:id="15"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4/28/99 2:32:37 PM</w:t>
      </w:r>
    </w:p>
  </w:comment>
  <w:comment w:id="16"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4/28/99 2:31:01 PM</w:t>
      </w:r>
    </w:p>
  </w:comment>
  <w:comment w:id="17" w:author="EUS" w:date="0-00-00T00:00:00Z" w:initials="E">
    <w:p>
      <w:pPr>
        <w:overflowPunct w:val="false"/>
        <w:bidi w:val="0"/>
        <w:rPr/>
      </w:pPr>
      <w:r>
        <w:annotationRef/>
      </w:r>
      <w:r>
        <w:rPr>
          <w:rFonts w:ascii="Arial" w:hAnsi="Arial" w:eastAsia="Times New Roman" w:cs="Arial"/>
          <w:color w:val="auto"/>
          <w:sz w:val="20"/>
          <w:szCs w:val="20"/>
          <w:lang w:bidi="en-US" w:eastAsia="en-US" w:val="en-US"/>
        </w:rPr>
        <w:t>Seems to be disconnect between generation in this table and purchases/net energy above</w:t>
      </w:r>
    </w:p>
  </w:comment>
  <w:comment w:id="18" w:author="EUS" w:date="0-00-00T00:00:00Z" w:initials="E">
    <w:p>
      <w:pPr>
        <w:overflowPunct w:val="false"/>
        <w:bidi w:val="0"/>
        <w:rPr/>
      </w:pPr>
      <w:r>
        <w:annotationRef/>
      </w:r>
      <w:r>
        <w:rPr>
          <w:rFonts w:ascii="Arial" w:hAnsi="Arial" w:eastAsia="Times New Roman" w:cs="Arial"/>
          <w:color w:val="auto"/>
          <w:sz w:val="20"/>
          <w:szCs w:val="20"/>
          <w:lang w:bidi="en-US" w:eastAsia="en-US" w:val="en-US"/>
        </w:rPr>
        <w:t>Are there daily series for TVA?</w:t>
      </w:r>
    </w:p>
  </w:comment>
  <w:comment w:id="19"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To be consistent with MAIN table, show Into TVA before SERC </w:t>
      </w:r>
    </w:p>
  </w:comment>
  <w:comment w:id="20"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and source should be with table</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Bold">
    <w:charset w:val="00" w:characterSet="windows-1252"/>
    <w:family w:val="swiss"/>
    <w:pitch w:val="variable"/>
  </w:font>
  <w:font w:name="Wingdings">
    <w:charset w:val="02"/>
    <w:family w:val="auto"/>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27">
              <wp:simplePos x="0" y="0"/>
              <wp:positionH relativeFrom="page">
                <wp:posOffset>1280160</wp:posOffset>
              </wp:positionH>
              <wp:positionV relativeFrom="page">
                <wp:posOffset>9509760</wp:posOffset>
              </wp:positionV>
              <wp:extent cx="5486400" cy="0"/>
              <wp:effectExtent l="0" t="6350" r="0" b="6350"/>
              <wp:wrapNone/>
              <wp:docPr id="5"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45">
          <wp:simplePos x="0" y="0"/>
          <wp:positionH relativeFrom="column">
            <wp:posOffset>5852160</wp:posOffset>
          </wp:positionH>
          <wp:positionV relativeFrom="paragraph">
            <wp:posOffset>-417195</wp:posOffset>
          </wp:positionV>
          <wp:extent cx="731520" cy="579755"/>
          <wp:effectExtent l="0" t="0" r="0" b="0"/>
          <wp:wrapNone/>
          <wp:docPr id="6"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34">
              <wp:simplePos x="0" y="0"/>
              <wp:positionH relativeFrom="margin">
                <wp:align>center</wp:align>
              </wp:positionH>
              <wp:positionV relativeFrom="paragraph">
                <wp:posOffset>635</wp:posOffset>
              </wp:positionV>
              <wp:extent cx="64135" cy="131445"/>
              <wp:effectExtent l="0" t="0" r="0" b="0"/>
              <wp:wrapSquare wrapText="bothSides"/>
              <wp:docPr id="7" name="Frame1"/>
              <a:graphic xmlns:a="http://schemas.openxmlformats.org/drawingml/2006/main">
                <a:graphicData uri="http://schemas.microsoft.com/office/word/2010/wordprocessingShape">
                  <wps:wsp>
                    <wps:cNvSpPr txBox="1"/>
                    <wps:spPr>
                      <a:xfrm>
                        <a:off x="0" y="0"/>
                        <a:ext cx="64135" cy="131445"/>
                      </a:xfrm>
                      <a:prstGeom prst="rect"/>
                      <a:solidFill>
                        <a:srgbClr val="FFFFFF">
                          <a:alpha val="0"/>
                        </a:srgbClr>
                      </a:solidFill>
                    </wps:spPr>
                    <wps:txbx>
                      <w:txbxContent>
                        <w:p>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5.05pt;height:10.35pt;mso-wrap-distance-left:0pt;mso-wrap-distance-right:0pt;mso-wrap-distance-top:0pt;mso-wrap-distance-bottom:0pt;margin-top:0.05pt;mso-position-vertical-relative:text;margin-left:231.5pt;mso-position-horizontal:center;mso-position-horizontal-relative:margin">
              <v:fill opacity="0f"/>
              <v:textbox inset="0in,0in,0in,0in">
                <w:txbxContent>
                  <w:p>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Style w:val="PageNumber"/>
      </w:rPr>
      <mc:AlternateContent>
        <mc:Choice Requires="wps">
          <w:drawing>
            <wp:anchor behindDoc="1" distT="0" distB="0" distL="114935" distR="114935" simplePos="0" locked="0" layoutInCell="0" allowOverlap="1" relativeHeight="22">
              <wp:simplePos x="0" y="0"/>
              <wp:positionH relativeFrom="page">
                <wp:posOffset>1280160</wp:posOffset>
              </wp:positionH>
              <wp:positionV relativeFrom="page">
                <wp:posOffset>9509760</wp:posOffset>
              </wp:positionV>
              <wp:extent cx="5486400" cy="0"/>
              <wp:effectExtent l="0" t="6350" r="0" b="6350"/>
              <wp:wrapNone/>
              <wp:docPr id="8"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23">
          <wp:simplePos x="0" y="0"/>
          <wp:positionH relativeFrom="column">
            <wp:posOffset>5669280</wp:posOffset>
          </wp:positionH>
          <wp:positionV relativeFrom="paragraph">
            <wp:posOffset>-448310</wp:posOffset>
          </wp:positionV>
          <wp:extent cx="731520" cy="579755"/>
          <wp:effectExtent l="0" t="0" r="0" b="0"/>
          <wp:wrapNone/>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51">
              <wp:simplePos x="0" y="0"/>
              <wp:positionH relativeFrom="page">
                <wp:posOffset>1280160</wp:posOffset>
              </wp:positionH>
              <wp:positionV relativeFrom="page">
                <wp:posOffset>9509760</wp:posOffset>
              </wp:positionV>
              <wp:extent cx="5486400" cy="0"/>
              <wp:effectExtent l="0" t="6350" r="0" b="6350"/>
              <wp:wrapNone/>
              <wp:docPr id="14"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52">
          <wp:simplePos x="0" y="0"/>
          <wp:positionH relativeFrom="column">
            <wp:posOffset>5852160</wp:posOffset>
          </wp:positionH>
          <wp:positionV relativeFrom="paragraph">
            <wp:posOffset>-417195</wp:posOffset>
          </wp:positionV>
          <wp:extent cx="731520" cy="579755"/>
          <wp:effectExtent l="0" t="0" r="0" b="0"/>
          <wp:wrapNone/>
          <wp:docPr id="15" name="Image8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Copy 2"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50">
              <wp:simplePos x="0" y="0"/>
              <wp:positionH relativeFrom="margin">
                <wp:align>center</wp:align>
              </wp:positionH>
              <wp:positionV relativeFrom="paragraph">
                <wp:posOffset>635</wp:posOffset>
              </wp:positionV>
              <wp:extent cx="64135" cy="131445"/>
              <wp:effectExtent l="0" t="0" r="0" b="0"/>
              <wp:wrapSquare wrapText="bothSides"/>
              <wp:docPr id="16" name="Frame3"/>
              <a:graphic xmlns:a="http://schemas.openxmlformats.org/drawingml/2006/main">
                <a:graphicData uri="http://schemas.microsoft.com/office/word/2010/wordprocessingShape">
                  <wps:wsp>
                    <wps:cNvSpPr txBox="1"/>
                    <wps:spPr>
                      <a:xfrm>
                        <a:off x="0" y="0"/>
                        <a:ext cx="64135" cy="131445"/>
                      </a:xfrm>
                      <a:prstGeom prst="rect"/>
                      <a:solidFill>
                        <a:srgbClr val="FFFFFF">
                          <a:alpha val="0"/>
                        </a:srgbClr>
                      </a:solidFill>
                    </wps:spPr>
                    <wps:txbx>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5.05pt;height:10.35pt;mso-wrap-distance-left:0pt;mso-wrap-distance-right:0pt;mso-wrap-distance-top:0pt;mso-wrap-distance-bottom:0pt;margin-top:0.05pt;mso-position-vertical-relative:text;margin-left:321.5pt;mso-position-horizontal:center;mso-position-horizontal-relative:margin">
              <v:fill opacity="0f"/>
              <v:textbox inset="0in,0in,0in,0in">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46">
              <wp:simplePos x="0" y="0"/>
              <wp:positionH relativeFrom="page">
                <wp:posOffset>1280160</wp:posOffset>
              </wp:positionH>
              <wp:positionV relativeFrom="page">
                <wp:posOffset>9509760</wp:posOffset>
              </wp:positionV>
              <wp:extent cx="5486400" cy="0"/>
              <wp:effectExtent l="0" t="6350" r="0" b="6350"/>
              <wp:wrapNone/>
              <wp:docPr id="17"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47">
          <wp:simplePos x="0" y="0"/>
          <wp:positionH relativeFrom="column">
            <wp:posOffset>5852160</wp:posOffset>
          </wp:positionH>
          <wp:positionV relativeFrom="paragraph">
            <wp:posOffset>-417195</wp:posOffset>
          </wp:positionV>
          <wp:extent cx="731520" cy="579755"/>
          <wp:effectExtent l="0" t="0" r="0" b="0"/>
          <wp:wrapNone/>
          <wp:docPr id="18" name="Image8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41">
              <wp:simplePos x="0" y="0"/>
              <wp:positionH relativeFrom="margin">
                <wp:align>center</wp:align>
              </wp:positionH>
              <wp:positionV relativeFrom="paragraph">
                <wp:posOffset>635</wp:posOffset>
              </wp:positionV>
              <wp:extent cx="64135" cy="131445"/>
              <wp:effectExtent l="0" t="0" r="0" b="0"/>
              <wp:wrapSquare wrapText="bothSides"/>
              <wp:docPr id="19" name="Frame2"/>
              <a:graphic xmlns:a="http://schemas.openxmlformats.org/drawingml/2006/main">
                <a:graphicData uri="http://schemas.microsoft.com/office/word/2010/wordprocessingShape">
                  <wps:wsp>
                    <wps:cNvSpPr txBox="1"/>
                    <wps:spPr>
                      <a:xfrm>
                        <a:off x="0" y="0"/>
                        <a:ext cx="64135" cy="131445"/>
                      </a:xfrm>
                      <a:prstGeom prst="rect"/>
                      <a:solidFill>
                        <a:srgbClr val="FFFFFF">
                          <a:alpha val="0"/>
                        </a:srgbClr>
                      </a:solidFill>
                    </wps:spPr>
                    <wps:txbx>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5.05pt;height:10.35pt;mso-wrap-distance-left:0pt;mso-wrap-distance-right:0pt;mso-wrap-distance-top:0pt;mso-wrap-distance-bottom:0pt;margin-top:0.05pt;mso-position-vertical-relative:text;margin-left:321.5pt;mso-position-horizontal:center;mso-position-horizontal-relative:margin">
              <v:fill opacity="0f"/>
              <v:textbox inset="0in,0in,0in,0in">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v:textbox>
              <w10:wrap type="squar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107">
              <wp:simplePos x="0" y="0"/>
              <wp:positionH relativeFrom="page">
                <wp:posOffset>1280160</wp:posOffset>
              </wp:positionH>
              <wp:positionV relativeFrom="page">
                <wp:posOffset>9509760</wp:posOffset>
              </wp:positionV>
              <wp:extent cx="5486400" cy="0"/>
              <wp:effectExtent l="0" t="6350" r="0" b="6350"/>
              <wp:wrapNone/>
              <wp:docPr id="32"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131">
          <wp:simplePos x="0" y="0"/>
          <wp:positionH relativeFrom="column">
            <wp:posOffset>5852160</wp:posOffset>
          </wp:positionH>
          <wp:positionV relativeFrom="paragraph">
            <wp:posOffset>-417195</wp:posOffset>
          </wp:positionV>
          <wp:extent cx="731520" cy="579755"/>
          <wp:effectExtent l="0" t="0" r="0" b="0"/>
          <wp:wrapNone/>
          <wp:docPr id="33" name="Image8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 Copy 1 Copy 2"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83">
              <wp:simplePos x="0" y="0"/>
              <wp:positionH relativeFrom="margin">
                <wp:align>center</wp:align>
              </wp:positionH>
              <wp:positionV relativeFrom="paragraph">
                <wp:posOffset>635</wp:posOffset>
              </wp:positionV>
              <wp:extent cx="127635" cy="131445"/>
              <wp:effectExtent l="0" t="0" r="0" b="0"/>
              <wp:wrapSquare wrapText="bothSides"/>
              <wp:docPr id="34" name="Frame5"/>
              <a:graphic xmlns:a="http://schemas.openxmlformats.org/drawingml/2006/main">
                <a:graphicData uri="http://schemas.microsoft.com/office/word/2010/wordprocessingShape">
                  <wps:wsp>
                    <wps:cNvSpPr txBox="1"/>
                    <wps:spPr>
                      <a:xfrm>
                        <a:off x="0" y="0"/>
                        <a:ext cx="127635" cy="131445"/>
                      </a:xfrm>
                      <a:prstGeom prst="rect"/>
                      <a:solidFill>
                        <a:srgbClr val="FFFFFF">
                          <a:alpha val="0"/>
                        </a:srgbClr>
                      </a:solidFill>
                    </wps:spPr>
                    <wps:txbx>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31</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0.05pt;height:10.35pt;mso-wrap-distance-left:0pt;mso-wrap-distance-right:0pt;mso-wrap-distance-top:0pt;mso-wrap-distance-bottom:0pt;margin-top:0.05pt;mso-position-vertical-relative:text;margin-left:229pt;mso-position-horizontal:center;mso-position-horizontal-relative:margin">
              <v:fill opacity="0f"/>
              <v:textbox inset="0in,0in,0in,0in">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31</w:t>
                    </w:r>
                    <w:r>
                      <w:rPr>
                        <w:rStyle w:val="PageNumber"/>
                      </w:rPr>
                      <w:fldChar w:fldCharType="end"/>
                    </w:r>
                  </w:p>
                </w:txbxContent>
              </v:textbox>
              <w10:wrap type="squar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end="360"/>
      <w:rPr>
        <w:rFonts w:ascii="Arial" w:hAnsi="Arial" w:cs="Arial"/>
        <w:b/>
        <w:sz w:val="18"/>
        <w:lang w:val="en-CA"/>
      </w:rPr>
    </w:pPr>
    <w:r>
      <w:rPr>
        <w:rFonts w:cs="Arial" w:ascii="Arial" w:hAnsi="Arial"/>
        <w:b/>
        <w:sz w:val="18"/>
        <w:lang w:val="en-CA"/>
      </w:rPr>
      <mc:AlternateContent>
        <mc:Choice Requires="wps">
          <w:drawing>
            <wp:anchor behindDoc="1" distT="0" distB="0" distL="114935" distR="114935" simplePos="0" locked="0" layoutInCell="0" allowOverlap="1" relativeHeight="56">
              <wp:simplePos x="0" y="0"/>
              <wp:positionH relativeFrom="page">
                <wp:posOffset>1280160</wp:posOffset>
              </wp:positionH>
              <wp:positionV relativeFrom="page">
                <wp:posOffset>9509760</wp:posOffset>
              </wp:positionV>
              <wp:extent cx="5486400" cy="0"/>
              <wp:effectExtent l="0" t="6350" r="0" b="6350"/>
              <wp:wrapNone/>
              <wp:docPr id="35"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57">
          <wp:simplePos x="0" y="0"/>
          <wp:positionH relativeFrom="column">
            <wp:posOffset>5852160</wp:posOffset>
          </wp:positionH>
          <wp:positionV relativeFrom="paragraph">
            <wp:posOffset>-417195</wp:posOffset>
          </wp:positionV>
          <wp:extent cx="731520" cy="579755"/>
          <wp:effectExtent l="0" t="0" r="0" b="0"/>
          <wp:wrapNone/>
          <wp:docPr id="36" name="Image8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 Copy 1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mc:AlternateContent>
        <mc:Choice Requires="wps">
          <w:drawing>
            <wp:anchor behindDoc="0" distT="0" distB="0" distL="0" distR="0" simplePos="0" locked="0" layoutInCell="0" allowOverlap="1" relativeHeight="55">
              <wp:simplePos x="0" y="0"/>
              <wp:positionH relativeFrom="margin">
                <wp:align>center</wp:align>
              </wp:positionH>
              <wp:positionV relativeFrom="paragraph">
                <wp:posOffset>635</wp:posOffset>
              </wp:positionV>
              <wp:extent cx="64135" cy="131445"/>
              <wp:effectExtent l="0" t="0" r="0" b="0"/>
              <wp:wrapSquare wrapText="bothSides"/>
              <wp:docPr id="37" name="Frame4"/>
              <a:graphic xmlns:a="http://schemas.openxmlformats.org/drawingml/2006/main">
                <a:graphicData uri="http://schemas.microsoft.com/office/word/2010/wordprocessingShape">
                  <wps:wsp>
                    <wps:cNvSpPr txBox="1"/>
                    <wps:spPr>
                      <a:xfrm>
                        <a:off x="0" y="0"/>
                        <a:ext cx="64135" cy="131445"/>
                      </a:xfrm>
                      <a:prstGeom prst="rect"/>
                      <a:solidFill>
                        <a:srgbClr val="FFFFFF">
                          <a:alpha val="0"/>
                        </a:srgbClr>
                      </a:solidFill>
                    </wps:spPr>
                    <wps:txbx>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5.05pt;height:10.35pt;mso-wrap-distance-left:0pt;mso-wrap-distance-right:0pt;mso-wrap-distance-top:0pt;mso-wrap-distance-bottom:0pt;margin-top:0.05pt;mso-position-vertical-relative:text;margin-left:231.5pt;mso-position-horizontal:center;mso-position-horizontal-relative:margin">
              <v:fill opacity="0f"/>
              <v:textbox inset="0in,0in,0in,0in">
                <w:txbxContent>
                  <w:p>
                    <w:pPr>
                      <w:pStyle w:val="Footer"/>
                      <w:jc w:val="cen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v:textbox>
              <w10:wrap type="square"/>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footnoteRef/>
      </w:r>
      <w:r>
        <w:rPr>
          <w:sz w:val="18"/>
        </w:rPr>
        <w:t xml:space="preserve">  </w:t>
      </w:r>
      <w:r>
        <w:rPr>
          <w:sz w:val="18"/>
        </w:rPr>
        <w:t>Excluding the entire month of March</w:t>
      </w:r>
    </w:p>
  </w:footnote>
  <w:footnote w:id="3">
    <w:p>
      <w:pPr>
        <w:pStyle w:val="FootnoteText"/>
        <w:rPr/>
      </w:pPr>
      <w:r>
        <w:rPr>
          <w:rStyle w:val="FootnoteCharacters"/>
        </w:rPr>
        <w:footnoteRef/>
      </w:r>
      <w:r>
        <w:rPr>
          <w:sz w:val="18"/>
        </w:rPr>
        <w:t xml:space="preserve">  </w:t>
      </w:r>
      <w:r>
        <w:rPr>
          <w:sz w:val="18"/>
        </w:rPr>
        <w:t xml:space="preserve">Excluding the entire month of October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15">
              <wp:simplePos x="0" y="0"/>
              <wp:positionH relativeFrom="page">
                <wp:posOffset>1282700</wp:posOffset>
              </wp:positionH>
              <wp:positionV relativeFrom="page">
                <wp:posOffset>671195</wp:posOffset>
              </wp:positionV>
              <wp:extent cx="1917700" cy="0"/>
              <wp:effectExtent l="0" t="31750" r="0" b="31750"/>
              <wp:wrapNone/>
              <wp:docPr id="1"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
              <wp:simplePos x="0" y="0"/>
              <wp:positionH relativeFrom="page">
                <wp:posOffset>1188720</wp:posOffset>
              </wp:positionH>
              <wp:positionV relativeFrom="page">
                <wp:posOffset>671195</wp:posOffset>
              </wp:positionV>
              <wp:extent cx="5486400" cy="0"/>
              <wp:effectExtent l="0" t="6350" r="0" b="6350"/>
              <wp:wrapNone/>
              <wp:docPr id="2"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b/>
        <w:sz w:val="18"/>
      </w:rPr>
    </w:pPr>
    <w:r>
      <mc:AlternateContent>
        <mc:Choice Requires="wps">
          <w:drawing>
            <wp:anchor behindDoc="1" distT="0" distB="0" distL="114935" distR="114935" simplePos="0" locked="0" layoutInCell="0" allowOverlap="1" relativeHeight="20">
              <wp:simplePos x="0" y="0"/>
              <wp:positionH relativeFrom="page">
                <wp:posOffset>1188720</wp:posOffset>
              </wp:positionH>
              <wp:positionV relativeFrom="page">
                <wp:posOffset>640080</wp:posOffset>
              </wp:positionV>
              <wp:extent cx="5486400" cy="0"/>
              <wp:effectExtent l="0" t="6350" r="0" b="6350"/>
              <wp:wrapNone/>
              <wp:docPr id="3"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0.4pt" to="525.55pt,50.4pt" stroked="t" o:allowincell="f" style="position:absolute;mso-position-horizontal-relative:page;mso-position-vertical-relative:page">
              <v:stroke color="black" weight="1260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
              <wp:simplePos x="0" y="0"/>
              <wp:positionH relativeFrom="page">
                <wp:posOffset>1280160</wp:posOffset>
              </wp:positionH>
              <wp:positionV relativeFrom="page">
                <wp:posOffset>640080</wp:posOffset>
              </wp:positionV>
              <wp:extent cx="1917700" cy="0"/>
              <wp:effectExtent l="0" t="31750" r="0" b="31750"/>
              <wp:wrapNone/>
              <wp:docPr id="4"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0.8pt,50.4pt" to="251.75pt,50.4pt" stroked="t" o:allowincell="f" style="position:absolute;mso-position-horizontal-relative:page;mso-position-vertical-relative:page">
              <v:stroke color="blue" weight="63360" joinstyle="miter" endcap="flat"/>
              <v:fill o:detectmouseclick="t" on="false"/>
              <w10:wrap type="none"/>
            </v:line>
          </w:pict>
        </mc:Fallback>
      </mc:AlternateContent>
    </w:r>
    <w:r>
      <w:rPr>
        <w:rFonts w:cs="Times New Roman" w:ascii="Times New Roman" w:hAnsi="Times New Roman"/>
        <w:b/>
        <w:sz w:val="18"/>
      </w:rPr>
      <w:t xml:space="preserve">                                                                                                                                                                           </w:t>
    </w:r>
    <w:r>
      <w:rPr>
        <w:rFonts w:cs="Times New Roman" w:ascii="Times New Roman" w:hAnsi="Times New Roman"/>
        <w:b/>
        <w:sz w:val="18"/>
      </w:rPr>
      <w:t>Confidential</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53">
              <wp:simplePos x="0" y="0"/>
              <wp:positionH relativeFrom="page">
                <wp:posOffset>1282700</wp:posOffset>
              </wp:positionH>
              <wp:positionV relativeFrom="page">
                <wp:posOffset>671195</wp:posOffset>
              </wp:positionV>
              <wp:extent cx="1917700" cy="0"/>
              <wp:effectExtent l="0" t="31750" r="0" b="31750"/>
              <wp:wrapNone/>
              <wp:docPr id="10"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4">
              <wp:simplePos x="0" y="0"/>
              <wp:positionH relativeFrom="page">
                <wp:posOffset>1188720</wp:posOffset>
              </wp:positionH>
              <wp:positionV relativeFrom="page">
                <wp:posOffset>671195</wp:posOffset>
              </wp:positionV>
              <wp:extent cx="5486400" cy="0"/>
              <wp:effectExtent l="0" t="6350" r="0" b="6350"/>
              <wp:wrapNone/>
              <wp:docPr id="11"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48">
              <wp:simplePos x="0" y="0"/>
              <wp:positionH relativeFrom="page">
                <wp:posOffset>1282700</wp:posOffset>
              </wp:positionH>
              <wp:positionV relativeFrom="page">
                <wp:posOffset>671195</wp:posOffset>
              </wp:positionV>
              <wp:extent cx="1917700" cy="0"/>
              <wp:effectExtent l="0" t="31750" r="0" b="31750"/>
              <wp:wrapNone/>
              <wp:docPr id="12"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9">
              <wp:simplePos x="0" y="0"/>
              <wp:positionH relativeFrom="page">
                <wp:posOffset>1188720</wp:posOffset>
              </wp:positionH>
              <wp:positionV relativeFrom="page">
                <wp:posOffset>671195</wp:posOffset>
              </wp:positionV>
              <wp:extent cx="5486400" cy="0"/>
              <wp:effectExtent l="0" t="6350" r="0" b="6350"/>
              <wp:wrapNone/>
              <wp:docPr id="13"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155">
              <wp:simplePos x="0" y="0"/>
              <wp:positionH relativeFrom="page">
                <wp:posOffset>1282700</wp:posOffset>
              </wp:positionH>
              <wp:positionV relativeFrom="page">
                <wp:posOffset>671195</wp:posOffset>
              </wp:positionV>
              <wp:extent cx="1917700" cy="0"/>
              <wp:effectExtent l="0" t="31750" r="0" b="31750"/>
              <wp:wrapNone/>
              <wp:docPr id="28"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79">
              <wp:simplePos x="0" y="0"/>
              <wp:positionH relativeFrom="page">
                <wp:posOffset>1188720</wp:posOffset>
              </wp:positionH>
              <wp:positionV relativeFrom="page">
                <wp:posOffset>671195</wp:posOffset>
              </wp:positionV>
              <wp:extent cx="5486400" cy="0"/>
              <wp:effectExtent l="0" t="6350" r="0" b="6350"/>
              <wp:wrapNone/>
              <wp:docPr id="29"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58">
              <wp:simplePos x="0" y="0"/>
              <wp:positionH relativeFrom="page">
                <wp:posOffset>1282700</wp:posOffset>
              </wp:positionH>
              <wp:positionV relativeFrom="page">
                <wp:posOffset>671195</wp:posOffset>
              </wp:positionV>
              <wp:extent cx="1917700" cy="0"/>
              <wp:effectExtent l="0" t="31750" r="0" b="31750"/>
              <wp:wrapNone/>
              <wp:docPr id="30"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9">
              <wp:simplePos x="0" y="0"/>
              <wp:positionH relativeFrom="page">
                <wp:posOffset>1188720</wp:posOffset>
              </wp:positionH>
              <wp:positionV relativeFrom="page">
                <wp:posOffset>671195</wp:posOffset>
              </wp:positionV>
              <wp:extent cx="5486400" cy="0"/>
              <wp:effectExtent l="0" t="6350" r="0" b="6350"/>
              <wp:wrapNone/>
              <wp:docPr id="31"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5040"/>
        </w:tabs>
        <w:ind w:start="5040" w:hanging="360"/>
      </w:pPr>
      <w:rPr>
        <w:rFonts w:ascii="Symbol" w:hAnsi="Symbol" w:cs="Symbol" w:hint="default"/>
        <w:vertAlign w:val="baseline"/>
        <w:position w:val="0"/>
        <w:sz w:val="24"/>
        <w:u w:val="none"/>
        <w:color w:val="auto"/>
      </w:rPr>
    </w:lvl>
  </w:abstractNum>
  <w:abstractNum w:abstractNumId="4">
    <w:lvl w:ilvl="0">
      <w:start w:val="1"/>
      <w:numFmt w:val="bullet"/>
      <w:lvlText w:val=""/>
      <w:lvlJc w:val="start"/>
      <w:pPr>
        <w:tabs>
          <w:tab w:val="num" w:pos="360"/>
        </w:tabs>
        <w:ind w:start="360" w:hanging="360"/>
      </w:pPr>
      <w:rPr>
        <w:rFonts w:ascii="Wingdings" w:hAnsi="Wingdings" w:cs="Wingdings" w:hint="default"/>
      </w:rPr>
    </w:lvl>
  </w:abstractNum>
  <w:abstractNum w:abstractNumId="5">
    <w:lvl w:ilvl="0">
      <w:start w:val="1"/>
      <w:numFmt w:val="decimal"/>
      <w:lvlText w:val="(%1)"/>
      <w:lvlJc w:val="start"/>
      <w:pPr>
        <w:tabs>
          <w:tab w:val="num" w:pos="360"/>
        </w:tabs>
        <w:ind w:start="360" w:hanging="360"/>
      </w:pPr>
      <w:rPr/>
    </w:lvl>
  </w:abstractNum>
  <w:abstractNum w:abstractNumId="6">
    <w:lvl w:ilvl="0">
      <w:start w:val="1"/>
      <w:numFmt w:val="bullet"/>
      <w:lvlText w:val=""/>
      <w:lvlJc w:val="start"/>
      <w:pPr>
        <w:tabs>
          <w:tab w:val="num" w:pos="2160"/>
        </w:tabs>
        <w:ind w:start="2160" w:hanging="360"/>
      </w:pPr>
      <w:rPr>
        <w:rFonts w:ascii="Symbol" w:hAnsi="Symbol" w:cs="Symbol" w:hint="default"/>
      </w:rPr>
    </w:lvl>
  </w:abstractNum>
  <w:abstractNum w:abstractNumId="7">
    <w:lvl w:ilvl="0">
      <w:start w:val="1"/>
      <w:numFmt w:val="bullet"/>
      <w:lvlText w:val=""/>
      <w:lvlJc w:val="start"/>
      <w:pPr>
        <w:tabs>
          <w:tab w:val="num" w:pos="360"/>
        </w:tabs>
        <w:ind w:start="360" w:hanging="360"/>
      </w:pPr>
      <w:rPr>
        <w:rFonts w:ascii="Symbol" w:hAnsi="Symbol" w:cs="Symbol" w:hint="default"/>
      </w:rPr>
    </w:lvl>
  </w:abstractNum>
  <w:abstractNum w:abstractNumId="8">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9">
    <w:lvl w:ilvl="0">
      <w:start w:val="1"/>
      <w:numFmt w:val="lowerRoman"/>
      <w:lvlText w:val="(%1)"/>
      <w:lvlJc w:val="start"/>
      <w:pPr>
        <w:tabs>
          <w:tab w:val="num" w:pos="2880"/>
        </w:tabs>
        <w:ind w:start="2880" w:hanging="720"/>
      </w:pPr>
    </w:lvl>
  </w:abstractNum>
  <w:abstractNum w:abstractNumId="10">
    <w:lvl w:ilvl="0">
      <w:start w:val="1"/>
      <w:numFmt w:val="bullet"/>
      <w:lvlText w:val=""/>
      <w:lvlJc w:val="start"/>
      <w:pPr>
        <w:tabs>
          <w:tab w:val="num" w:pos="2880"/>
        </w:tabs>
        <w:ind w:start="360" w:firstLine="2160"/>
      </w:pPr>
      <w:rPr>
        <w:rFonts w:ascii="Wingdings" w:hAnsi="Wingdings" w:cs="Wingdings" w:hint="default"/>
        <w:sz w:val="10"/>
      </w:rPr>
    </w:lvl>
  </w:abstractNum>
  <w:abstractNum w:abstractNumId="11">
    <w:lvl w:ilvl="0">
      <w:start w:val="1"/>
      <w:numFmt w:val="decimal"/>
      <w:lvlText w:val="%1)"/>
      <w:lvlJc w:val="start"/>
      <w:pPr>
        <w:tabs>
          <w:tab w:val="num" w:pos="360"/>
        </w:tabs>
        <w:ind w:start="360" w:hanging="360"/>
      </w:pPr>
      <w:rPr/>
    </w:lvl>
  </w:abstractNum>
  <w:abstractNum w:abstractNumId="12">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13">
    <w:lvl w:ilvl="0">
      <w:start w:val="1"/>
      <w:numFmt w:val="bullet"/>
      <w:lvlText w:val=""/>
      <w:lvlJc w:val="start"/>
      <w:pPr>
        <w:tabs>
          <w:tab w:val="num" w:pos="360"/>
        </w:tabs>
        <w:ind w:start="360" w:hanging="360"/>
      </w:pPr>
      <w:rPr>
        <w:rFonts w:ascii="Symbol" w:hAnsi="Symbol" w:cs="Symbol" w:hint="default"/>
      </w:rPr>
    </w:lvl>
  </w:abstractNum>
  <w:abstractNum w:abstractNumId="14">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15">
    <w:lvl w:ilvl="0">
      <w:start w:val="1"/>
      <w:numFmt w:val="bullet"/>
      <w:lvlText w:val=""/>
      <w:lvlJc w:val="start"/>
      <w:pPr>
        <w:tabs>
          <w:tab w:val="num" w:pos="1440"/>
        </w:tabs>
        <w:ind w:start="1440" w:hanging="360"/>
      </w:pPr>
      <w:rPr>
        <w:rFonts w:ascii="Symbol" w:hAnsi="Symbol" w:cs="Symbol" w:hint="default"/>
        <w:position w:val="2"/>
      </w:rPr>
    </w:lvl>
  </w:abstractNum>
  <w:abstractNum w:abstractNumId="16">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17">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abstractNum w:abstractNumId="18">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90"/>
  <w:defaultTabStop w:val="720"/>
  <w:autoHyphenation w:val="true"/>
  <w:hyphenationZone w:val="0"/>
  <w:footnotePr>
    <w:numFmt w:val="decimal"/>
    <w:footnote w:id="0"/>
    <w:footnote w:id="1"/>
  </w:footnotePr>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b/>
      <w:sz w:val="30"/>
    </w:rPr>
  </w:style>
  <w:style w:type="paragraph" w:styleId="Heading2">
    <w:name w:val="heading 2"/>
    <w:basedOn w:val="Normal"/>
    <w:next w:val="Normal"/>
    <w:qFormat/>
    <w:pPr>
      <w:keepNext w:val="true"/>
      <w:numPr>
        <w:ilvl w:val="1"/>
        <w:numId w:val="1"/>
      </w:numPr>
      <w:spacing w:before="60" w:after="0"/>
      <w:jc w:val="center"/>
      <w:outlineLvl w:val="1"/>
    </w:pPr>
    <w:rPr>
      <w:rFonts w:ascii="Arial" w:hAnsi="Arial" w:cs="Arial"/>
      <w:b/>
    </w:rPr>
  </w:style>
  <w:style w:type="paragraph" w:styleId="Heading3">
    <w:name w:val="heading 3"/>
    <w:basedOn w:val="Normal"/>
    <w:next w:val="Normal"/>
    <w:qFormat/>
    <w:pPr>
      <w:keepNext w:val="true"/>
      <w:numPr>
        <w:ilvl w:val="2"/>
        <w:numId w:val="1"/>
      </w:numPr>
      <w:outlineLvl w:val="2"/>
    </w:pPr>
    <w:rPr>
      <w:b/>
      <w:sz w:val="50"/>
    </w:rPr>
  </w:style>
  <w:style w:type="paragraph" w:styleId="Heading4">
    <w:name w:val="heading 4"/>
    <w:basedOn w:val="Normal"/>
    <w:next w:val="Normal"/>
    <w:qFormat/>
    <w:pPr>
      <w:keepNext w:val="true"/>
      <w:numPr>
        <w:ilvl w:val="3"/>
        <w:numId w:val="1"/>
      </w:numPr>
      <w:ind w:hanging="540" w:start="540" w:end="0"/>
      <w:outlineLvl w:val="3"/>
    </w:pPr>
    <w:rPr>
      <w:b/>
      <w:color w:val="000000"/>
      <w:sz w:val="40"/>
      <w:lang w:eastAsia="en-US"/>
    </w:rPr>
  </w:style>
  <w:style w:type="paragraph" w:styleId="Heading5">
    <w:name w:val="heading 5"/>
    <w:basedOn w:val="Normal"/>
    <w:next w:val="Normal"/>
    <w:qFormat/>
    <w:pPr>
      <w:keepNext w:val="true"/>
      <w:numPr>
        <w:ilvl w:val="4"/>
        <w:numId w:val="1"/>
      </w:numPr>
      <w:ind w:firstLine="720" w:start="720" w:end="0"/>
      <w:outlineLvl w:val="4"/>
    </w:pPr>
    <w:rPr>
      <w:b/>
      <w:sz w:val="40"/>
    </w:rPr>
  </w:style>
  <w:style w:type="paragraph" w:styleId="Heading6">
    <w:name w:val="heading 6"/>
    <w:basedOn w:val="Normal"/>
    <w:next w:val="Normal"/>
    <w:qFormat/>
    <w:pPr>
      <w:keepNext w:val="true"/>
      <w:numPr>
        <w:ilvl w:val="5"/>
        <w:numId w:val="1"/>
      </w:numPr>
      <w:spacing w:before="120" w:after="120"/>
      <w:jc w:val="center"/>
      <w:outlineLvl w:val="5"/>
    </w:pPr>
    <w:rPr>
      <w:rFonts w:ascii="Arial Bold" w:hAnsi="Arial Bold" w:cs="Arial Bold"/>
      <w:b/>
      <w:color w:val="FFFFFF"/>
      <w:sz w:val="24"/>
    </w:rPr>
  </w:style>
  <w:style w:type="paragraph" w:styleId="Heading7">
    <w:name w:val="heading 7"/>
    <w:basedOn w:val="Normal"/>
    <w:next w:val="Normal"/>
    <w:qFormat/>
    <w:pPr>
      <w:keepNext w:val="true"/>
      <w:numPr>
        <w:ilvl w:val="6"/>
        <w:numId w:val="1"/>
      </w:numPr>
      <w:spacing w:before="300" w:after="0"/>
      <w:outlineLvl w:val="6"/>
    </w:pPr>
    <w:rPr>
      <w:rFonts w:ascii="Arial" w:hAnsi="Arial" w:cs="Arial"/>
      <w:b/>
    </w:rPr>
  </w:style>
  <w:style w:type="paragraph" w:styleId="Heading8">
    <w:name w:val="heading 8"/>
    <w:basedOn w:val="Normal"/>
    <w:next w:val="Normal"/>
    <w:qFormat/>
    <w:pPr>
      <w:keepNext w:val="true"/>
      <w:numPr>
        <w:ilvl w:val="7"/>
        <w:numId w:val="1"/>
      </w:numPr>
      <w:ind w:firstLine="180" w:start="1260" w:end="0"/>
      <w:outlineLvl w:val="7"/>
    </w:pPr>
    <w:rPr>
      <w:b/>
      <w:sz w:val="40"/>
    </w:rPr>
  </w:style>
  <w:style w:type="paragraph" w:styleId="Heading9">
    <w:name w:val="heading 9"/>
    <w:basedOn w:val="Normal"/>
    <w:next w:val="Normal"/>
    <w:qFormat/>
    <w:pPr>
      <w:keepNext w:val="true"/>
      <w:numPr>
        <w:ilvl w:val="8"/>
        <w:numId w:val="1"/>
      </w:numPr>
      <w:spacing w:before="120" w:after="120"/>
      <w:ind w:hanging="0" w:start="720" w:end="0"/>
      <w:outlineLvl w:val="8"/>
    </w:pPr>
    <w:rPr>
      <w:rFonts w:ascii="Arial" w:hAnsi="Arial" w:cs="Arial"/>
      <w:vanish/>
      <w:color w:val="FF0000"/>
      <w:sz w:val="18"/>
    </w:rPr>
  </w:style>
  <w:style w:type="character" w:styleId="WW8Num5z0">
    <w:name w:val="WW8Num5z0"/>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2z0">
    <w:name w:val="WW8Num12z0"/>
    <w:qFormat/>
    <w:rPr>
      <w:rFonts w:ascii="Wingdings" w:hAnsi="Wingdings" w:cs="Wingdings"/>
      <w:b w:val="false"/>
      <w:i w:val="false"/>
      <w:sz w:val="14"/>
      <w:u w:val="none"/>
    </w:rPr>
  </w:style>
  <w:style w:type="character" w:styleId="WW8Num13z0">
    <w:name w:val="WW8Num13z0"/>
    <w:qFormat/>
    <w:rPr>
      <w:rFonts w:ascii="Wingdings" w:hAnsi="Wingdings" w:cs="Wingdings"/>
      <w:b/>
      <w:i/>
      <w:sz w:val="24"/>
    </w:rPr>
  </w:style>
  <w:style w:type="character" w:styleId="WW8Num15z0">
    <w:name w:val="WW8Num15z0"/>
    <w:qFormat/>
    <w:rPr/>
  </w:style>
  <w:style w:type="character" w:styleId="WW8Num16z0">
    <w:name w:val="WW8Num16z0"/>
    <w:qFormat/>
    <w:rPr/>
  </w:style>
  <w:style w:type="character" w:styleId="WW8Num23z0">
    <w:name w:val="WW8Num23z0"/>
    <w:qFormat/>
    <w:rPr>
      <w:rFonts w:ascii="Wingdings" w:hAnsi="Wingdings" w:cs="Wingdings"/>
      <w:b/>
      <w:i/>
      <w:sz w:val="24"/>
    </w:rPr>
  </w:style>
  <w:style w:type="character" w:styleId="WW8Num24z0">
    <w:name w:val="WW8Num24z0"/>
    <w:qFormat/>
    <w:rPr>
      <w:rFonts w:ascii="Symbol" w:hAnsi="Symbol" w:cs="Symbol"/>
      <w:sz w:val="14"/>
    </w:rPr>
  </w:style>
  <w:style w:type="character" w:styleId="WW8Num25z0">
    <w:name w:val="WW8Num25z0"/>
    <w:qFormat/>
    <w:rPr>
      <w:rFonts w:ascii="Wingdings" w:hAnsi="Wingdings" w:cs="Wingdings"/>
    </w:rPr>
  </w:style>
  <w:style w:type="character" w:styleId="WW8Num26z0">
    <w:name w:val="WW8Num26z0"/>
    <w:qFormat/>
    <w:rPr>
      <w:rFonts w:ascii="Wingdings" w:hAnsi="Wingdings" w:cs="Wingdings"/>
      <w:color w:val="auto"/>
      <w:sz w:val="20"/>
    </w:rPr>
  </w:style>
  <w:style w:type="character" w:styleId="WW8Num27z0">
    <w:name w:val="WW8Num27z0"/>
    <w:qFormat/>
    <w:rPr/>
  </w:style>
  <w:style w:type="character" w:styleId="WW8Num28z0">
    <w:name w:val="WW8Num28z0"/>
    <w:qFormat/>
    <w:rPr>
      <w:rFonts w:ascii="Wingdings" w:hAnsi="Wingdings" w:cs="Wingdings"/>
      <w:b w:val="false"/>
      <w:i w:val="false"/>
      <w:color w:val="auto"/>
      <w:sz w:val="12"/>
      <w:u w:val="none"/>
      <w:vertAlign w:val="superscript"/>
    </w:rPr>
  </w:style>
  <w:style w:type="character" w:styleId="WW8Num29z0">
    <w:name w:val="WW8Num29z0"/>
    <w:qFormat/>
    <w:rPr>
      <w:rFonts w:ascii="Symbol" w:hAnsi="Symbol" w:cs="Symbol"/>
      <w:u w:val="none"/>
      <w:vertAlign w:val="superscript"/>
    </w:rPr>
  </w:style>
  <w:style w:type="character" w:styleId="WW8Num31z0">
    <w:name w:val="WW8Num31z0"/>
    <w:qFormat/>
    <w:rPr>
      <w:rFonts w:ascii="Symbol" w:hAnsi="Symbol" w:cs="Symbol"/>
      <w:b w:val="false"/>
      <w:i w:val="false"/>
      <w:color w:val="auto"/>
      <w:sz w:val="28"/>
      <w:u w:val="none"/>
      <w:vertAlign w:val="superscript"/>
    </w:rPr>
  </w:style>
  <w:style w:type="character" w:styleId="WW8Num32z0">
    <w:name w:val="WW8Num32z0"/>
    <w:qFormat/>
    <w:rPr>
      <w:caps w:val="false"/>
      <w:smallCaps w:val="false"/>
      <w:strike w:val="false"/>
      <w:dstrike w:val="false"/>
      <w:outline w:val="false"/>
      <w:shadow w:val="false"/>
      <w:vanish w:val="false"/>
      <w:color w:val="auto"/>
      <w:kern w:val="0"/>
      <w:position w:val="0"/>
      <w:sz w:val="24"/>
      <w:vertAlign w:val="baseline"/>
    </w:rPr>
  </w:style>
  <w:style w:type="character" w:styleId="WW8Num34z0">
    <w:name w:val="WW8Num34z0"/>
    <w:qFormat/>
    <w:rPr>
      <w:rFonts w:ascii="Symbol" w:hAnsi="Symbol" w:cs="Symbol"/>
    </w:rPr>
  </w:style>
  <w:style w:type="character" w:styleId="WW8Num35z0">
    <w:name w:val="WW8Num35z0"/>
    <w:qFormat/>
    <w:rPr>
      <w:rFonts w:ascii="Symbol" w:hAnsi="Symbol" w:cs="Symbol"/>
      <w:color w:val="auto"/>
      <w:u w:val="none"/>
      <w:vertAlign w:val="superscript"/>
    </w:rPr>
  </w:style>
  <w:style w:type="character" w:styleId="WW8Num36z0">
    <w:name w:val="WW8Num36z0"/>
    <w:qFormat/>
    <w:rPr>
      <w:rFonts w:ascii="Wingdings" w:hAnsi="Wingdings" w:cs="Wingdings"/>
      <w:b/>
      <w:i w:val="false"/>
      <w:color w:val="auto"/>
      <w:sz w:val="28"/>
      <w:u w:val="none"/>
    </w:rPr>
  </w:style>
  <w:style w:type="character" w:styleId="WW8Num37z0">
    <w:name w:val="WW8Num37z0"/>
    <w:qFormat/>
    <w:rPr>
      <w:rFonts w:ascii="Wingdings" w:hAnsi="Wingdings" w:cs="Wingdings"/>
    </w:rPr>
  </w:style>
  <w:style w:type="character" w:styleId="WW8Num38z0">
    <w:name w:val="WW8Num38z0"/>
    <w:qFormat/>
    <w:rPr>
      <w:caps w:val="false"/>
      <w:smallCaps w:val="false"/>
      <w:strike w:val="false"/>
      <w:dstrike w:val="false"/>
      <w:outline w:val="false"/>
      <w:shadow w:val="false"/>
      <w:vanish w:val="false"/>
      <w:color w:val="auto"/>
      <w:kern w:val="0"/>
      <w:position w:val="0"/>
      <w:sz w:val="24"/>
      <w:vertAlign w:val="baseline"/>
    </w:rPr>
  </w:style>
  <w:style w:type="character" w:styleId="WW8Num39z0">
    <w:name w:val="WW8Num39z0"/>
    <w:qFormat/>
    <w:rPr>
      <w:rFonts w:ascii="Wingdings" w:hAnsi="Wingdings" w:cs="Wingdings"/>
      <w:b w:val="false"/>
      <w:i w:val="false"/>
      <w:color w:val="auto"/>
      <w:sz w:val="10"/>
      <w:u w:val="none"/>
      <w:vertAlign w:val="superscript"/>
    </w:rPr>
  </w:style>
  <w:style w:type="character" w:styleId="WW8Num40z0">
    <w:name w:val="WW8Num4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41z0">
    <w:name w:val="WW8Num41z0"/>
    <w:qFormat/>
    <w:rPr>
      <w:rFonts w:ascii="Wingdings" w:hAnsi="Wingdings" w:cs="Wingdings"/>
      <w:b w:val="false"/>
      <w:i/>
      <w:color w:val="auto"/>
      <w:sz w:val="16"/>
      <w:u w:val="none"/>
    </w:rPr>
  </w:style>
  <w:style w:type="character" w:styleId="WW8Num43z0">
    <w:name w:val="WW8Num43z0"/>
    <w:qFormat/>
    <w:rPr>
      <w:rFonts w:ascii="Wingdings" w:hAnsi="Wingdings" w:cs="Wingdings"/>
    </w:rPr>
  </w:style>
  <w:style w:type="character" w:styleId="WW8Num47z0">
    <w:name w:val="WW8Num47z0"/>
    <w:qFormat/>
    <w:rPr>
      <w:rFonts w:ascii="Wingdings" w:hAnsi="Wingdings" w:cs="Wingdings"/>
      <w:b w:val="false"/>
      <w:i w:val="false"/>
      <w:color w:val="auto"/>
      <w:sz w:val="10"/>
      <w:u w:val="none"/>
      <w:vertAlign w:val="superscript"/>
    </w:rPr>
  </w:style>
  <w:style w:type="character" w:styleId="WW8Num48z0">
    <w:name w:val="WW8Num48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9z0">
    <w:name w:val="WW8Num49z0"/>
    <w:qFormat/>
    <w:rPr>
      <w:rFonts w:ascii="Wingdings" w:hAnsi="Wingdings" w:cs="Wingdings"/>
      <w:b w:val="false"/>
      <w:i w:val="false"/>
      <w:color w:val="auto"/>
      <w:sz w:val="24"/>
      <w:u w:val="none"/>
    </w:rPr>
  </w:style>
  <w:style w:type="character" w:styleId="WW8Num52z0">
    <w:name w:val="WW8Num52z0"/>
    <w:qFormat/>
    <w:rPr>
      <w:rFonts w:ascii="Symbol" w:hAnsi="Symbol" w:cs="Symbol"/>
      <w:sz w:val="18"/>
    </w:rPr>
  </w:style>
  <w:style w:type="character" w:styleId="WW8Num53z0">
    <w:name w:val="WW8Num53z0"/>
    <w:qFormat/>
    <w:rPr/>
  </w:style>
  <w:style w:type="character" w:styleId="WW8Num56z0">
    <w:name w:val="WW8Num56z0"/>
    <w:qFormat/>
    <w:rPr/>
  </w:style>
  <w:style w:type="character" w:styleId="WW8Num57z0">
    <w:name w:val="WW8Num57z0"/>
    <w:qFormat/>
    <w:rPr>
      <w:rFonts w:ascii="Wingdings" w:hAnsi="Wingdings" w:cs="Wingdings"/>
      <w:b w:val="false"/>
      <w:i w:val="false"/>
      <w:color w:val="auto"/>
      <w:sz w:val="20"/>
      <w:u w:val="none"/>
    </w:rPr>
  </w:style>
  <w:style w:type="character" w:styleId="WW8Num59z0">
    <w:name w:val="WW8Num59z0"/>
    <w:qFormat/>
    <w:rPr/>
  </w:style>
  <w:style w:type="character" w:styleId="WW8Num62z0">
    <w:name w:val="WW8Num62z0"/>
    <w:qFormat/>
    <w:rPr/>
  </w:style>
  <w:style w:type="character" w:styleId="WW8Num64z0">
    <w:name w:val="WW8Num64z0"/>
    <w:qFormat/>
    <w:rPr>
      <w:rFonts w:ascii="Wingdings" w:hAnsi="Wingdings" w:cs="Wingdings"/>
    </w:rPr>
  </w:style>
  <w:style w:type="character" w:styleId="WW8Num66z0">
    <w:name w:val="WW8Num66z0"/>
    <w:qFormat/>
    <w:rPr>
      <w:rFonts w:ascii="Wingdings" w:hAnsi="Wingdings" w:cs="Wingdings"/>
      <w:b w:val="false"/>
      <w:i w:val="false"/>
      <w:color w:val="auto"/>
      <w:sz w:val="24"/>
    </w:rPr>
  </w:style>
  <w:style w:type="character" w:styleId="WW8Num67z0">
    <w:name w:val="WW8Num67z0"/>
    <w:qFormat/>
    <w:rPr>
      <w:rFonts w:ascii="Wingdings" w:hAnsi="Wingdings" w:cs="Wingdings"/>
      <w:sz w:val="28"/>
    </w:rPr>
  </w:style>
  <w:style w:type="character" w:styleId="WW8Num68z0">
    <w:name w:val="WW8Num68z0"/>
    <w:qFormat/>
    <w:rPr>
      <w:rFonts w:ascii="Wingdings" w:hAnsi="Wingdings" w:cs="Wingdings"/>
      <w:color w:val="auto"/>
      <w:sz w:val="20"/>
    </w:rPr>
  </w:style>
  <w:style w:type="character" w:styleId="WW8Num69z0">
    <w:name w:val="WW8Num69z0"/>
    <w:qFormat/>
    <w:rPr>
      <w:rFonts w:ascii="Symbol" w:hAnsi="Symbol" w:cs="Symbol"/>
    </w:rPr>
  </w:style>
  <w:style w:type="character" w:styleId="WW8Num70z0">
    <w:name w:val="WW8Num70z0"/>
    <w:qFormat/>
    <w:rPr>
      <w:rFonts w:ascii="Wingdings" w:hAnsi="Wingdings" w:cs="Wingdings"/>
      <w:b w:val="false"/>
      <w:i w:val="false"/>
      <w:color w:val="auto"/>
      <w:sz w:val="28"/>
      <w:u w:val="none"/>
      <w:vertAlign w:val="superscript"/>
    </w:rPr>
  </w:style>
  <w:style w:type="character" w:styleId="WW8Num71z0">
    <w:name w:val="WW8Num71z0"/>
    <w:qFormat/>
    <w:rPr/>
  </w:style>
  <w:style w:type="character" w:styleId="WW8Num72z0">
    <w:name w:val="WW8Num72z0"/>
    <w:qFormat/>
    <w:rPr>
      <w:rFonts w:ascii="Wingdings" w:hAnsi="Wingdings" w:cs="Wingdings"/>
    </w:rPr>
  </w:style>
  <w:style w:type="character" w:styleId="WW8Num73z0">
    <w:name w:val="WW8Num73z0"/>
    <w:qFormat/>
    <w:rPr>
      <w:rFonts w:ascii="Wingdings" w:hAnsi="Wingdings" w:cs="Wingdings"/>
      <w:b w:val="false"/>
      <w:i w:val="false"/>
      <w:color w:val="auto"/>
      <w:sz w:val="28"/>
      <w:u w:val="none"/>
    </w:rPr>
  </w:style>
  <w:style w:type="character" w:styleId="WW8Num74z0">
    <w:name w:val="WW8Num74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75z0">
    <w:name w:val="WW8Num75z0"/>
    <w:qFormat/>
    <w:rPr>
      <w:rFonts w:ascii="Wingdings" w:hAnsi="Wingdings" w:cs="Wingdings"/>
      <w:b w:val="false"/>
      <w:i w:val="false"/>
      <w:color w:val="auto"/>
      <w:sz w:val="20"/>
      <w:u w:val="none"/>
    </w:rPr>
  </w:style>
  <w:style w:type="character" w:styleId="WW8Num76z0">
    <w:name w:val="WW8Num76z0"/>
    <w:qFormat/>
    <w:rPr>
      <w:rFonts w:ascii="Wingdings" w:hAnsi="Wingdings" w:cs="Wingdings"/>
      <w:b w:val="false"/>
      <w:i/>
      <w:color w:val="auto"/>
      <w:sz w:val="16"/>
      <w:u w:val="none"/>
    </w:rPr>
  </w:style>
  <w:style w:type="character" w:styleId="WW8Num77z0">
    <w:name w:val="WW8Num77z0"/>
    <w:qFormat/>
    <w:rPr>
      <w:rFonts w:ascii="Wingdings" w:hAnsi="Wingdings" w:cs="Wingdings"/>
      <w:sz w:val="16"/>
    </w:rPr>
  </w:style>
  <w:style w:type="character" w:styleId="WW8Num78z0">
    <w:name w:val="WW8Num78z0"/>
    <w:qFormat/>
    <w:rPr>
      <w:rFonts w:ascii="Wingdings" w:hAnsi="Wingdings" w:cs="Wingdings"/>
    </w:rPr>
  </w:style>
  <w:style w:type="character" w:styleId="WW8Num79z0">
    <w:name w:val="WW8Num79z0"/>
    <w:qFormat/>
    <w:rPr/>
  </w:style>
  <w:style w:type="character" w:styleId="WW8Num83z0">
    <w:name w:val="WW8Num83z0"/>
    <w:qFormat/>
    <w:rPr>
      <w:rFonts w:ascii="Wingdings" w:hAnsi="Wingdings" w:cs="Wingdings"/>
      <w:b w:val="false"/>
      <w:i w:val="false"/>
      <w:color w:val="auto"/>
      <w:sz w:val="10"/>
      <w:u w:val="none"/>
      <w:vertAlign w:val="superscript"/>
    </w:rPr>
  </w:style>
  <w:style w:type="character" w:styleId="WW8Num84z0">
    <w:name w:val="WW8Num84z0"/>
    <w:qFormat/>
    <w:rPr>
      <w:rFonts w:ascii="Wingdings" w:hAnsi="Wingdings" w:cs="Wingdings"/>
      <w:b w:val="false"/>
      <w:i w:val="false"/>
      <w:color w:val="auto"/>
      <w:sz w:val="12"/>
      <w:u w:val="none"/>
      <w:vertAlign w:val="superscript"/>
    </w:rPr>
  </w:style>
  <w:style w:type="character" w:styleId="WW8Num87z0">
    <w:name w:val="WW8Num87z0"/>
    <w:qFormat/>
    <w:rPr/>
  </w:style>
  <w:style w:type="character" w:styleId="WW8Num88z0">
    <w:name w:val="WW8Num88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89z0">
    <w:name w:val="WW8Num89z0"/>
    <w:qFormat/>
    <w:rPr>
      <w:rFonts w:ascii="Wingdings" w:hAnsi="Wingdings" w:cs="Wingdings"/>
    </w:rPr>
  </w:style>
  <w:style w:type="character" w:styleId="WW8Num90z0">
    <w:name w:val="WW8Num90z0"/>
    <w:qFormat/>
    <w:rPr>
      <w:rFonts w:ascii="Wingdings" w:hAnsi="Wingdings" w:cs="Wingdings"/>
    </w:rPr>
  </w:style>
  <w:style w:type="character" w:styleId="WW8Num91z0">
    <w:name w:val="WW8Num91z0"/>
    <w:qFormat/>
    <w:rPr>
      <w:rFonts w:ascii="Wingdings" w:hAnsi="Wingdings" w:cs="Wingdings"/>
    </w:rPr>
  </w:style>
  <w:style w:type="character" w:styleId="WW8Num92z0">
    <w:name w:val="WW8Num92z0"/>
    <w:qFormat/>
    <w:rPr>
      <w:rFonts w:ascii="Wingdings" w:hAnsi="Wingdings" w:cs="Wingdings"/>
      <w:b w:val="false"/>
      <w:i/>
      <w:color w:val="auto"/>
      <w:sz w:val="16"/>
      <w:u w:val="none"/>
    </w:rPr>
  </w:style>
  <w:style w:type="character" w:styleId="WW8Num93z0">
    <w:name w:val="WW8Num93z0"/>
    <w:qFormat/>
    <w:rPr/>
  </w:style>
  <w:style w:type="character" w:styleId="WW8Num95z0">
    <w:name w:val="WW8Num95z0"/>
    <w:qFormat/>
    <w:rPr>
      <w:rFonts w:ascii="Wingdings" w:hAnsi="Wingdings" w:cs="Wingdings"/>
      <w:b w:val="false"/>
      <w:i w:val="false"/>
      <w:color w:val="auto"/>
      <w:sz w:val="12"/>
      <w:u w:val="none"/>
      <w:vertAlign w:val="superscript"/>
    </w:rPr>
  </w:style>
  <w:style w:type="character" w:styleId="WW8Num96z0">
    <w:name w:val="WW8Num96z0"/>
    <w:qFormat/>
    <w:rPr>
      <w:rFonts w:ascii="Wingdings" w:hAnsi="Wingdings" w:cs="Wingdings"/>
    </w:rPr>
  </w:style>
  <w:style w:type="character" w:styleId="WW8Num97z0">
    <w:name w:val="WW8Num97z0"/>
    <w:qFormat/>
    <w:rPr>
      <w:rFonts w:ascii="Wingdings" w:hAnsi="Wingdings" w:cs="Wingdings"/>
    </w:rPr>
  </w:style>
  <w:style w:type="character" w:styleId="WW8Num98z0">
    <w:name w:val="WW8Num98z0"/>
    <w:qFormat/>
    <w:rPr>
      <w:rFonts w:ascii="Wingdings" w:hAnsi="Wingdings" w:cs="Wingdings"/>
      <w:b w:val="false"/>
      <w:i/>
      <w:color w:val="auto"/>
      <w:sz w:val="16"/>
      <w:u w:val="none"/>
    </w:rPr>
  </w:style>
  <w:style w:type="character" w:styleId="WW8Num99z0">
    <w:name w:val="WW8Num99z0"/>
    <w:qFormat/>
    <w:rPr>
      <w:rFonts w:ascii="Symbol" w:hAnsi="Symbol" w:cs="Symbol"/>
    </w:rPr>
  </w:style>
  <w:style w:type="character" w:styleId="WW8Num100z0">
    <w:name w:val="WW8Num100z0"/>
    <w:qFormat/>
    <w:rPr>
      <w:rFonts w:ascii="Wingdings" w:hAnsi="Wingdings" w:cs="Wingdings"/>
      <w:sz w:val="20"/>
    </w:rPr>
  </w:style>
  <w:style w:type="character" w:styleId="WW8Num102z0">
    <w:name w:val="WW8Num102z0"/>
    <w:qFormat/>
    <w:rPr>
      <w:rFonts w:ascii="Symbol" w:hAnsi="Symbol" w:cs="Symbol"/>
      <w:color w:val="auto"/>
      <w:position w:val="0"/>
      <w:sz w:val="24"/>
      <w:u w:val="none"/>
      <w:vertAlign w:val="baseline"/>
    </w:rPr>
  </w:style>
  <w:style w:type="character" w:styleId="WW8Num103z0">
    <w:name w:val="WW8Num103z0"/>
    <w:qFormat/>
    <w:rPr/>
  </w:style>
  <w:style w:type="character" w:styleId="WW8Num104z0">
    <w:name w:val="WW8Num104z0"/>
    <w:qFormat/>
    <w:rPr/>
  </w:style>
  <w:style w:type="character" w:styleId="WW8Num107z0">
    <w:name w:val="WW8Num107z0"/>
    <w:qFormat/>
    <w:rPr>
      <w:rFonts w:ascii="Wingdings" w:hAnsi="Wingdings" w:cs="Wingdings"/>
    </w:rPr>
  </w:style>
  <w:style w:type="character" w:styleId="WW8Num110z0">
    <w:name w:val="WW8Num11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11z0">
    <w:name w:val="WW8Num111z0"/>
    <w:qFormat/>
    <w:rPr>
      <w:rFonts w:ascii="Wingdings" w:hAnsi="Wingdings" w:cs="Wingdings"/>
    </w:rPr>
  </w:style>
  <w:style w:type="character" w:styleId="WW8Num112z0">
    <w:name w:val="WW8Num112z0"/>
    <w:qFormat/>
    <w:rPr>
      <w:rFonts w:ascii="Wingdings" w:hAnsi="Wingdings" w:cs="Wingdings"/>
      <w:b w:val="false"/>
      <w:i w:val="false"/>
      <w:color w:val="auto"/>
      <w:sz w:val="28"/>
      <w:u w:val="none"/>
      <w:vertAlign w:val="superscript"/>
    </w:rPr>
  </w:style>
  <w:style w:type="character" w:styleId="WW8Num113z0">
    <w:name w:val="WW8Num113z0"/>
    <w:qFormat/>
    <w:rPr>
      <w:rFonts w:ascii="Wingdings" w:hAnsi="Wingdings" w:cs="Wingdings"/>
      <w:b w:val="false"/>
      <w:i w:val="false"/>
      <w:color w:val="auto"/>
      <w:sz w:val="10"/>
      <w:u w:val="none"/>
      <w:vertAlign w:val="superscript"/>
    </w:rPr>
  </w:style>
  <w:style w:type="character" w:styleId="WW8Num114z0">
    <w:name w:val="WW8Num114z0"/>
    <w:qFormat/>
    <w:rPr>
      <w:rFonts w:ascii="Wingdings" w:hAnsi="Wingdings" w:cs="Wingdings"/>
      <w:b w:val="false"/>
      <w:i w:val="false"/>
      <w:color w:val="auto"/>
      <w:sz w:val="28"/>
      <w:u w:val="none"/>
    </w:rPr>
  </w:style>
  <w:style w:type="character" w:styleId="WW8Num116z0">
    <w:name w:val="WW8Num116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17z0">
    <w:name w:val="WW8Num117z0"/>
    <w:qFormat/>
    <w:rPr/>
  </w:style>
  <w:style w:type="character" w:styleId="WW8Num118z0">
    <w:name w:val="WW8Num118z0"/>
    <w:qFormat/>
    <w:rPr>
      <w:rFonts w:ascii="Wingdings" w:hAnsi="Wingdings" w:cs="Wingdings"/>
    </w:rPr>
  </w:style>
  <w:style w:type="character" w:styleId="WW8Num120z0">
    <w:name w:val="WW8Num120z0"/>
    <w:qFormat/>
    <w:rPr>
      <w:rFonts w:ascii="Wingdings" w:hAnsi="Wingdings" w:cs="Wingdings"/>
      <w:color w:val="auto"/>
    </w:rPr>
  </w:style>
  <w:style w:type="character" w:styleId="WW8Num121z0">
    <w:name w:val="WW8Num121z0"/>
    <w:qFormat/>
    <w:rPr>
      <w:caps w:val="false"/>
      <w:smallCaps w:val="false"/>
      <w:strike w:val="false"/>
      <w:dstrike w:val="false"/>
      <w:outline w:val="false"/>
      <w:shadow w:val="false"/>
      <w:vanish w:val="false"/>
      <w:color w:val="auto"/>
      <w:kern w:val="0"/>
      <w:position w:val="0"/>
      <w:sz w:val="24"/>
      <w:vertAlign w:val="baseline"/>
    </w:rPr>
  </w:style>
  <w:style w:type="character" w:styleId="WW8Num122z0">
    <w:name w:val="WW8Num122z0"/>
    <w:qFormat/>
    <w:rPr>
      <w:rFonts w:ascii="Wingdings" w:hAnsi="Wingdings" w:cs="Wingdings"/>
      <w:b w:val="false"/>
      <w:i/>
      <w:color w:val="auto"/>
      <w:sz w:val="16"/>
      <w:u w:val="none"/>
    </w:rPr>
  </w:style>
  <w:style w:type="character" w:styleId="WW8Num125z0">
    <w:name w:val="WW8Num125z0"/>
    <w:qFormat/>
    <w:rPr/>
  </w:style>
  <w:style w:type="character" w:styleId="WW8Num128z0">
    <w:name w:val="WW8Num128z0"/>
    <w:qFormat/>
    <w:rPr>
      <w:rFonts w:ascii="Symbol" w:hAnsi="Symbol" w:cs="Symbol"/>
    </w:rPr>
  </w:style>
  <w:style w:type="character" w:styleId="WW8Num130z0">
    <w:name w:val="WW8Num130z0"/>
    <w:qFormat/>
    <w:rPr>
      <w:rFonts w:ascii="Symbol" w:hAnsi="Symbol" w:cs="Symbol"/>
    </w:rPr>
  </w:style>
  <w:style w:type="character" w:styleId="WW8Num132z0">
    <w:name w:val="WW8Num132z0"/>
    <w:qFormat/>
    <w:rPr>
      <w:rFonts w:ascii="Wingdings" w:hAnsi="Wingdings" w:cs="Wingdings"/>
      <w:sz w:val="16"/>
    </w:rPr>
  </w:style>
  <w:style w:type="character" w:styleId="WW8Num134z0">
    <w:name w:val="WW8Num134z0"/>
    <w:qFormat/>
    <w:rPr>
      <w:rFonts w:ascii="Wingdings" w:hAnsi="Wingdings" w:cs="Wingdings"/>
      <w:color w:val="auto"/>
      <w:sz w:val="20"/>
    </w:rPr>
  </w:style>
  <w:style w:type="character" w:styleId="WW8Num135z0">
    <w:name w:val="WW8Num135z0"/>
    <w:qFormat/>
    <w:rPr>
      <w:rFonts w:ascii="Arial" w:hAnsi="Arial" w:cs="Arial"/>
      <w:b/>
      <w:i/>
      <w:color w:val="auto"/>
      <w:sz w:val="24"/>
      <w:u w:val="none"/>
    </w:rPr>
  </w:style>
  <w:style w:type="character" w:styleId="WW8Num137z0">
    <w:name w:val="WW8Num137z0"/>
    <w:qFormat/>
    <w:rPr>
      <w:rFonts w:ascii="Symbol" w:hAnsi="Symbol" w:cs="Symbol"/>
    </w:rPr>
  </w:style>
  <w:style w:type="character" w:styleId="WW8Num139z0">
    <w:name w:val="WW8Num139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41z0">
    <w:name w:val="WW8Num141z0"/>
    <w:qFormat/>
    <w:rPr/>
  </w:style>
  <w:style w:type="character" w:styleId="WW8Num143z0">
    <w:name w:val="WW8Num143z0"/>
    <w:qFormat/>
    <w:rPr>
      <w:rFonts w:ascii="Wingdings" w:hAnsi="Wingdings" w:cs="Wingdings"/>
    </w:rPr>
  </w:style>
  <w:style w:type="character" w:styleId="WW8Num147z0">
    <w:name w:val="WW8Num147z0"/>
    <w:qFormat/>
    <w:rPr>
      <w:rFonts w:ascii="Wingdings" w:hAnsi="Wingdings" w:cs="Wingdings"/>
    </w:rPr>
  </w:style>
  <w:style w:type="character" w:styleId="WW8Num148z0">
    <w:name w:val="WW8Num148z0"/>
    <w:qFormat/>
    <w:rPr>
      <w:rFonts w:ascii="Wingdings" w:hAnsi="Wingdings" w:cs="Wingdings"/>
    </w:rPr>
  </w:style>
  <w:style w:type="character" w:styleId="WW8Num151z0">
    <w:name w:val="WW8Num151z0"/>
    <w:qFormat/>
    <w:rPr/>
  </w:style>
  <w:style w:type="character" w:styleId="WW8Num155z0">
    <w:name w:val="WW8Num155z0"/>
    <w:qFormat/>
    <w:rPr>
      <w:rFonts w:ascii="Symbol" w:hAnsi="Symbol" w:cs="Symbol"/>
      <w:sz w:val="12"/>
    </w:rPr>
  </w:style>
  <w:style w:type="character" w:styleId="WW8Num157z0">
    <w:name w:val="WW8Num157z0"/>
    <w:qFormat/>
    <w:rPr>
      <w:rFonts w:ascii="Wingdings" w:hAnsi="Wingdings" w:cs="Wingdings"/>
      <w:sz w:val="16"/>
    </w:rPr>
  </w:style>
  <w:style w:type="character" w:styleId="WW8Num158z0">
    <w:name w:val="WW8Num158z0"/>
    <w:qFormat/>
    <w:rPr/>
  </w:style>
  <w:style w:type="character" w:styleId="WW8Num159z0">
    <w:name w:val="WW8Num159z0"/>
    <w:qFormat/>
    <w:rPr>
      <w:caps w:val="false"/>
      <w:smallCaps w:val="false"/>
      <w:strike w:val="false"/>
      <w:dstrike w:val="false"/>
      <w:outline w:val="false"/>
      <w:shadow w:val="false"/>
      <w:vanish w:val="false"/>
      <w:color w:val="auto"/>
      <w:kern w:val="0"/>
      <w:position w:val="0"/>
      <w:sz w:val="24"/>
      <w:vertAlign w:val="baseline"/>
    </w:rPr>
  </w:style>
  <w:style w:type="character" w:styleId="WW8Num160z0">
    <w:name w:val="WW8Num160z0"/>
    <w:qFormat/>
    <w:rPr>
      <w:rFonts w:ascii="Wingdings" w:hAnsi="Wingdings" w:cs="Wingdings"/>
      <w:sz w:val="16"/>
    </w:rPr>
  </w:style>
  <w:style w:type="character" w:styleId="WW8Num163z0">
    <w:name w:val="WW8Num163z0"/>
    <w:qFormat/>
    <w:rPr>
      <w:rFonts w:ascii="Wingdings" w:hAnsi="Wingdings" w:cs="Wingdings"/>
      <w:b/>
      <w:i/>
      <w:sz w:val="24"/>
    </w:rPr>
  </w:style>
  <w:style w:type="character" w:styleId="WW8Num165z0">
    <w:name w:val="WW8Num165z0"/>
    <w:qFormat/>
    <w:rPr>
      <w:rFonts w:ascii="Wingdings" w:hAnsi="Wingdings" w:cs="Wingdings"/>
    </w:rPr>
  </w:style>
  <w:style w:type="character" w:styleId="WW8Num167z0">
    <w:name w:val="WW8Num167z0"/>
    <w:qFormat/>
    <w:rPr>
      <w:rFonts w:ascii="Wingdings" w:hAnsi="Wingdings" w:cs="Wingdings"/>
      <w:color w:val="auto"/>
      <w:sz w:val="20"/>
    </w:rPr>
  </w:style>
  <w:style w:type="character" w:styleId="WW8Num168z0">
    <w:name w:val="WW8Num168z0"/>
    <w:qFormat/>
    <w:rPr>
      <w:rFonts w:ascii="Wingdings" w:hAnsi="Wingdings" w:cs="Wingdings"/>
      <w:b w:val="false"/>
      <w:i w:val="false"/>
      <w:color w:val="auto"/>
      <w:sz w:val="10"/>
      <w:u w:val="none"/>
      <w:vertAlign w:val="superscript"/>
    </w:rPr>
  </w:style>
  <w:style w:type="character" w:styleId="WW8Num169z0">
    <w:name w:val="WW8Num169z0"/>
    <w:qFormat/>
    <w:rPr/>
  </w:style>
  <w:style w:type="character" w:styleId="WW8Num170z0">
    <w:name w:val="WW8Num170z0"/>
    <w:qFormat/>
    <w:rPr>
      <w:rFonts w:ascii="Wingdings" w:hAnsi="Wingdings" w:cs="Wingdings"/>
      <w:b w:val="false"/>
      <w:i w:val="false"/>
      <w:color w:val="auto"/>
      <w:sz w:val="28"/>
      <w:u w:val="none"/>
    </w:rPr>
  </w:style>
  <w:style w:type="character" w:styleId="WW8Num172z0">
    <w:name w:val="WW8Num172z0"/>
    <w:qFormat/>
    <w:rPr>
      <w:rFonts w:ascii="Wingdings" w:hAnsi="Wingdings" w:cs="Wingdings"/>
    </w:rPr>
  </w:style>
  <w:style w:type="character" w:styleId="WW8Num173z0">
    <w:name w:val="WW8Num173z0"/>
    <w:qFormat/>
    <w:rPr>
      <w:rFonts w:ascii="Wingdings" w:hAnsi="Wingdings" w:cs="Wingdings"/>
    </w:rPr>
  </w:style>
  <w:style w:type="character" w:styleId="WW8Num174z0">
    <w:name w:val="WW8Num174z0"/>
    <w:qFormat/>
    <w:rPr>
      <w:rFonts w:ascii="Wingdings" w:hAnsi="Wingdings" w:cs="Wingdings"/>
    </w:rPr>
  </w:style>
  <w:style w:type="character" w:styleId="WW8Num175z0">
    <w:name w:val="WW8Num175z0"/>
    <w:qFormat/>
    <w:rPr>
      <w:rFonts w:ascii="Wingdings" w:hAnsi="Wingdings" w:cs="Wingdings"/>
    </w:rPr>
  </w:style>
  <w:style w:type="character" w:styleId="WW8Num176z0">
    <w:name w:val="WW8Num176z0"/>
    <w:qFormat/>
    <w:rPr>
      <w:rFonts w:ascii="Wingdings" w:hAnsi="Wingdings" w:cs="Wingdings"/>
      <w:b w:val="false"/>
      <w:i/>
      <w:color w:val="auto"/>
      <w:sz w:val="16"/>
      <w:u w:val="none"/>
    </w:rPr>
  </w:style>
  <w:style w:type="character" w:styleId="WW8Num178z0">
    <w:name w:val="WW8Num178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80z0">
    <w:name w:val="WW8Num180z0"/>
    <w:qFormat/>
    <w:rPr/>
  </w:style>
  <w:style w:type="character" w:styleId="WW8Num181z0">
    <w:name w:val="WW8Num181z0"/>
    <w:qFormat/>
    <w:rPr/>
  </w:style>
  <w:style w:type="character" w:styleId="WW8Num182z0">
    <w:name w:val="WW8Num182z0"/>
    <w:qFormat/>
    <w:rPr>
      <w:rFonts w:ascii="Symbol" w:hAnsi="Symbol" w:cs="Symbol"/>
      <w:u w:val="none"/>
      <w:vertAlign w:val="superscript"/>
    </w:rPr>
  </w:style>
  <w:style w:type="character" w:styleId="WW8Num183z0">
    <w:name w:val="WW8Num183z0"/>
    <w:qFormat/>
    <w:rPr>
      <w:rFonts w:ascii="Wingdings" w:hAnsi="Wingdings" w:cs="Wingdings"/>
      <w:b w:val="false"/>
      <w:i w:val="false"/>
      <w:color w:val="auto"/>
      <w:sz w:val="20"/>
      <w:u w:val="none"/>
      <w:vertAlign w:val="superscript"/>
    </w:rPr>
  </w:style>
  <w:style w:type="character" w:styleId="WW8Num185z0">
    <w:name w:val="WW8Num185z0"/>
    <w:qFormat/>
    <w:rPr>
      <w:rFonts w:ascii="Symbol" w:hAnsi="Symbol" w:cs="Symbol"/>
    </w:rPr>
  </w:style>
  <w:style w:type="character" w:styleId="WW8Num186z0">
    <w:name w:val="WW8Num186z0"/>
    <w:qFormat/>
    <w:rPr>
      <w:rFonts w:ascii="Symbol" w:hAnsi="Symbol" w:cs="Symbol"/>
    </w:rPr>
  </w:style>
  <w:style w:type="character" w:styleId="WW8Num187z0">
    <w:name w:val="WW8Num187z0"/>
    <w:qFormat/>
    <w:rPr>
      <w:rFonts w:ascii="Symbol" w:hAnsi="Symbol" w:cs="Symbol"/>
      <w:vertAlign w:val="superscript"/>
    </w:rPr>
  </w:style>
  <w:style w:type="character" w:styleId="WW8Num189z0">
    <w:name w:val="WW8Num189z0"/>
    <w:qFormat/>
    <w:rPr>
      <w:rFonts w:ascii="Wingdings" w:hAnsi="Wingdings" w:cs="Wingdings"/>
      <w:b w:val="false"/>
      <w:i w:val="false"/>
      <w:color w:val="auto"/>
      <w:sz w:val="20"/>
      <w:u w:val="none"/>
      <w:vertAlign w:val="superscript"/>
    </w:rPr>
  </w:style>
  <w:style w:type="character" w:styleId="WW8Num190z0">
    <w:name w:val="WW8Num190z0"/>
    <w:qFormat/>
    <w:rPr>
      <w:rFonts w:ascii="Wingdings" w:hAnsi="Wingdings" w:cs="Wingdings"/>
    </w:rPr>
  </w:style>
  <w:style w:type="character" w:styleId="WW8Num191z0">
    <w:name w:val="WW8Num191z0"/>
    <w:qFormat/>
    <w:rPr>
      <w:caps w:val="false"/>
      <w:smallCaps w:val="false"/>
      <w:strike w:val="false"/>
      <w:dstrike w:val="false"/>
      <w:outline w:val="false"/>
      <w:shadow w:val="false"/>
      <w:vanish w:val="false"/>
      <w:color w:val="auto"/>
      <w:kern w:val="0"/>
      <w:position w:val="0"/>
      <w:sz w:val="24"/>
      <w:vertAlign w:val="baseline"/>
    </w:rPr>
  </w:style>
  <w:style w:type="character" w:styleId="WW8Num192z0">
    <w:name w:val="WW8Num192z0"/>
    <w:qFormat/>
    <w:rPr>
      <w:caps w:val="false"/>
      <w:smallCaps w:val="false"/>
      <w:strike w:val="false"/>
      <w:dstrike w:val="false"/>
      <w:outline w:val="false"/>
      <w:shadow w:val="false"/>
      <w:vanish w:val="false"/>
      <w:color w:val="auto"/>
      <w:kern w:val="0"/>
      <w:position w:val="0"/>
      <w:sz w:val="24"/>
      <w:vertAlign w:val="baseline"/>
    </w:rPr>
  </w:style>
  <w:style w:type="character" w:styleId="WW8Num194z0">
    <w:name w:val="WW8Num194z0"/>
    <w:qFormat/>
    <w:rPr>
      <w:rFonts w:ascii="Wingdings" w:hAnsi="Wingdings" w:cs="Wingdings"/>
      <w:b w:val="false"/>
      <w:i w:val="false"/>
      <w:sz w:val="10"/>
      <w:vertAlign w:val="superscript"/>
    </w:rPr>
  </w:style>
  <w:style w:type="character" w:styleId="WW8Num195z0">
    <w:name w:val="WW8Num195z0"/>
    <w:qFormat/>
    <w:rPr>
      <w:rFonts w:ascii="Wingdings" w:hAnsi="Wingdings" w:cs="Wingdings"/>
    </w:rPr>
  </w:style>
  <w:style w:type="character" w:styleId="WW8Num196z0">
    <w:name w:val="WW8Num196z0"/>
    <w:qFormat/>
    <w:rPr>
      <w:rFonts w:ascii="Wingdings" w:hAnsi="Wingdings" w:cs="Wingdings"/>
      <w:b w:val="false"/>
      <w:i/>
      <w:color w:val="auto"/>
      <w:sz w:val="16"/>
      <w:u w:val="none"/>
    </w:rPr>
  </w:style>
  <w:style w:type="character" w:styleId="WW8Num197z0">
    <w:name w:val="WW8Num197z0"/>
    <w:qFormat/>
    <w:rPr/>
  </w:style>
  <w:style w:type="character" w:styleId="WW8Num198z0">
    <w:name w:val="WW8Num198z0"/>
    <w:qFormat/>
    <w:rPr>
      <w:rFonts w:ascii="Symbol" w:hAnsi="Symbol" w:cs="Symbol"/>
    </w:rPr>
  </w:style>
  <w:style w:type="character" w:styleId="WW8Num199z0">
    <w:name w:val="WW8Num199z0"/>
    <w:qFormat/>
    <w:rPr>
      <w:rFonts w:ascii="Wingdings" w:hAnsi="Wingdings" w:cs="Wingdings"/>
      <w:b w:val="false"/>
      <w:i w:val="false"/>
      <w:color w:val="auto"/>
      <w:sz w:val="16"/>
      <w:u w:val="none"/>
    </w:rPr>
  </w:style>
  <w:style w:type="character" w:styleId="WW8Num202z0">
    <w:name w:val="WW8Num202z0"/>
    <w:qFormat/>
    <w:rPr>
      <w:rFonts w:ascii="Wingdings" w:hAnsi="Wingdings" w:cs="Wingdings"/>
      <w:b w:val="false"/>
      <w:i w:val="false"/>
      <w:color w:val="auto"/>
      <w:sz w:val="24"/>
    </w:rPr>
  </w:style>
  <w:style w:type="character" w:styleId="WW8Num203z0">
    <w:name w:val="WW8Num203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04z0">
    <w:name w:val="WW8Num204z0"/>
    <w:qFormat/>
    <w:rPr/>
  </w:style>
  <w:style w:type="character" w:styleId="WW8Num205z0">
    <w:name w:val="WW8Num205z0"/>
    <w:qFormat/>
    <w:rPr>
      <w:rFonts w:ascii="Wingdings" w:hAnsi="Wingdings" w:cs="Wingdings"/>
      <w:b/>
      <w:i/>
      <w:sz w:val="24"/>
    </w:rPr>
  </w:style>
  <w:style w:type="character" w:styleId="WW8Num206z0">
    <w:name w:val="WW8Num206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209z0">
    <w:name w:val="WW8Num209z0"/>
    <w:qFormat/>
    <w:rPr>
      <w:rFonts w:ascii="Wingdings" w:hAnsi="Wingdings" w:cs="Wingdings"/>
      <w:b w:val="false"/>
      <w:i w:val="false"/>
      <w:color w:val="auto"/>
      <w:sz w:val="10"/>
      <w:u w:val="none"/>
      <w:vertAlign w:val="superscript"/>
    </w:rPr>
  </w:style>
  <w:style w:type="character" w:styleId="WW8Num211z0">
    <w:name w:val="WW8Num211z0"/>
    <w:qFormat/>
    <w:rPr>
      <w:rFonts w:ascii="Wingdings" w:hAnsi="Wingdings" w:cs="Wingdings"/>
      <w:b w:val="false"/>
      <w:i w:val="false"/>
      <w:color w:val="auto"/>
      <w:sz w:val="10"/>
      <w:u w:val="none"/>
      <w:vertAlign w:val="superscript"/>
    </w:rPr>
  </w:style>
  <w:style w:type="character" w:styleId="WW8Num212z0">
    <w:name w:val="WW8Num212z0"/>
    <w:qFormat/>
    <w:rPr>
      <w:rFonts w:ascii="Symbol" w:hAnsi="Symbol" w:cs="Symbol"/>
      <w:color w:val="auto"/>
      <w:u w:val="none"/>
      <w:vertAlign w:val="superscript"/>
    </w:rPr>
  </w:style>
  <w:style w:type="character" w:styleId="WW8Num215z0">
    <w:name w:val="WW8Num215z0"/>
    <w:qFormat/>
    <w:rPr/>
  </w:style>
  <w:style w:type="character" w:styleId="WW8Num219z0">
    <w:name w:val="WW8Num219z0"/>
    <w:qFormat/>
    <w:rPr>
      <w:rFonts w:ascii="Wingdings" w:hAnsi="Wingdings" w:cs="Wingdings"/>
      <w:b/>
      <w:i/>
      <w:sz w:val="24"/>
    </w:rPr>
  </w:style>
  <w:style w:type="character" w:styleId="WW8Num221z0">
    <w:name w:val="WW8Num221z0"/>
    <w:qFormat/>
    <w:rPr>
      <w:rFonts w:ascii="Wingdings" w:hAnsi="Wingdings" w:cs="Wingdings"/>
      <w:b w:val="false"/>
      <w:i w:val="false"/>
      <w:color w:val="auto"/>
      <w:sz w:val="20"/>
      <w:vertAlign w:val="superscript"/>
    </w:rPr>
  </w:style>
  <w:style w:type="character" w:styleId="WW8Num222z0">
    <w:name w:val="WW8Num222z0"/>
    <w:qFormat/>
    <w:rPr>
      <w:rFonts w:ascii="Wingdings" w:hAnsi="Wingdings" w:cs="Wingdings"/>
      <w:sz w:val="16"/>
    </w:rPr>
  </w:style>
  <w:style w:type="character" w:styleId="WW8Num223z0">
    <w:name w:val="WW8Num223z0"/>
    <w:qFormat/>
    <w:rPr>
      <w:rFonts w:ascii="Wingdings" w:hAnsi="Wingdings" w:cs="Wingdings"/>
      <w:sz w:val="16"/>
    </w:rPr>
  </w:style>
  <w:style w:type="character" w:styleId="WW8Num224z0">
    <w:name w:val="WW8Num224z0"/>
    <w:qFormat/>
    <w:rPr>
      <w:rFonts w:ascii="Wingdings" w:hAnsi="Wingdings" w:cs="Wingdings"/>
      <w:b w:val="false"/>
      <w:i w:val="false"/>
      <w:color w:val="auto"/>
      <w:sz w:val="28"/>
      <w:u w:val="none"/>
      <w:vertAlign w:val="superscript"/>
    </w:rPr>
  </w:style>
  <w:style w:type="character" w:styleId="WW8Num226z0">
    <w:name w:val="WW8Num226z0"/>
    <w:qFormat/>
    <w:rPr>
      <w:rFonts w:ascii="Wingdings" w:hAnsi="Wingdings" w:cs="Wingdings"/>
      <w:b w:val="false"/>
      <w:i/>
      <w:color w:val="auto"/>
      <w:sz w:val="16"/>
      <w:u w:val="none"/>
    </w:rPr>
  </w:style>
  <w:style w:type="character" w:styleId="WW8Num228z0">
    <w:name w:val="WW8Num228z0"/>
    <w:qFormat/>
    <w:rPr>
      <w:rFonts w:ascii="Symbol" w:hAnsi="Symbol" w:cs="Symbol"/>
    </w:rPr>
  </w:style>
  <w:style w:type="character" w:styleId="WW8Num229z0">
    <w:name w:val="WW8Num229z0"/>
    <w:qFormat/>
    <w:rPr/>
  </w:style>
  <w:style w:type="character" w:styleId="WW8Num232z0">
    <w:name w:val="WW8Num232z0"/>
    <w:qFormat/>
    <w:rPr>
      <w:rFonts w:ascii="Wingdings" w:hAnsi="Wingdings" w:cs="Wingdings"/>
    </w:rPr>
  </w:style>
  <w:style w:type="character" w:styleId="WW8Num233z0">
    <w:name w:val="WW8Num233z0"/>
    <w:qFormat/>
    <w:rPr>
      <w:rFonts w:ascii="Symbol" w:hAnsi="Symbol" w:cs="Symbol"/>
    </w:rPr>
  </w:style>
  <w:style w:type="character" w:styleId="WW8Num234z0">
    <w:name w:val="WW8Num234z0"/>
    <w:qFormat/>
    <w:rPr>
      <w:rFonts w:ascii="Wingdings" w:hAnsi="Wingdings" w:cs="Wingdings"/>
    </w:rPr>
  </w:style>
  <w:style w:type="character" w:styleId="WW8Num235z0">
    <w:name w:val="WW8Num235z0"/>
    <w:qFormat/>
    <w:rPr>
      <w:caps w:val="false"/>
      <w:smallCaps w:val="false"/>
      <w:strike w:val="false"/>
      <w:dstrike w:val="false"/>
      <w:outline w:val="false"/>
      <w:shadow w:val="false"/>
      <w:vanish w:val="false"/>
      <w:color w:val="auto"/>
      <w:kern w:val="0"/>
      <w:position w:val="0"/>
      <w:sz w:val="24"/>
      <w:vertAlign w:val="baseline"/>
    </w:rPr>
  </w:style>
  <w:style w:type="character" w:styleId="WW8Num237z0">
    <w:name w:val="WW8Num237z0"/>
    <w:qFormat/>
    <w:rPr>
      <w:rFonts w:ascii="Times New Roman" w:hAnsi="Times New Roman" w:cs="Times New Roman"/>
      <w:b/>
      <w:i/>
      <w:sz w:val="24"/>
    </w:rPr>
  </w:style>
  <w:style w:type="character" w:styleId="WW8Num238z0">
    <w:name w:val="WW8Num238z0"/>
    <w:qFormat/>
    <w:rPr/>
  </w:style>
  <w:style w:type="character" w:styleId="WW8Num239z0">
    <w:name w:val="WW8Num239z0"/>
    <w:qFormat/>
    <w:rPr>
      <w:rFonts w:ascii="Arial" w:hAnsi="Arial" w:cs="Arial"/>
      <w:b w:val="false"/>
      <w:i w:val="false"/>
      <w:color w:val="auto"/>
      <w:sz w:val="16"/>
      <w:u w:val="none"/>
    </w:rPr>
  </w:style>
  <w:style w:type="character" w:styleId="WW8Num240z0">
    <w:name w:val="WW8Num240z0"/>
    <w:qFormat/>
    <w:rPr>
      <w:rFonts w:ascii="Wingdings" w:hAnsi="Wingdings" w:cs="Wingdings"/>
    </w:rPr>
  </w:style>
  <w:style w:type="character" w:styleId="WW8Num245z0">
    <w:name w:val="WW8Num245z0"/>
    <w:qFormat/>
    <w:rPr>
      <w:rFonts w:ascii="Wingdings" w:hAnsi="Wingdings" w:cs="Wingdings"/>
      <w:b/>
      <w:i/>
      <w:sz w:val="24"/>
    </w:rPr>
  </w:style>
  <w:style w:type="character" w:styleId="WW8Num246z0">
    <w:name w:val="WW8Num246z0"/>
    <w:qFormat/>
    <w:rPr>
      <w:rFonts w:ascii="Symbol" w:hAnsi="Symbol" w:cs="Symbol"/>
    </w:rPr>
  </w:style>
  <w:style w:type="character" w:styleId="WW8Num247z0">
    <w:name w:val="WW8Num247z0"/>
    <w:qFormat/>
    <w:rPr>
      <w:rFonts w:ascii="Symbol" w:hAnsi="Symbol" w:cs="Symbol"/>
      <w:u w:val="none"/>
      <w:vertAlign w:val="superscript"/>
    </w:rPr>
  </w:style>
  <w:style w:type="character" w:styleId="WW8Num250z0">
    <w:name w:val="WW8Num250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51z0">
    <w:name w:val="WW8Num251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52z0">
    <w:name w:val="WW8Num252z0"/>
    <w:qFormat/>
    <w:rPr/>
  </w:style>
  <w:style w:type="character" w:styleId="WW8Num255z0">
    <w:name w:val="WW8Num255z0"/>
    <w:qFormat/>
    <w:rPr/>
  </w:style>
  <w:style w:type="character" w:styleId="WW8Num256z0">
    <w:name w:val="WW8Num256z0"/>
    <w:qFormat/>
    <w:rPr>
      <w:rFonts w:ascii="Wingdings" w:hAnsi="Wingdings" w:cs="Wingdings"/>
      <w:b w:val="false"/>
      <w:i w:val="false"/>
      <w:color w:val="auto"/>
      <w:sz w:val="20"/>
      <w:u w:val="none"/>
    </w:rPr>
  </w:style>
  <w:style w:type="character" w:styleId="WW8Num260z0">
    <w:name w:val="WW8Num260z0"/>
    <w:qFormat/>
    <w:rPr>
      <w:rFonts w:ascii="Symbol" w:hAnsi="Symbol" w:cs="Symbol"/>
      <w:sz w:val="12"/>
    </w:rPr>
  </w:style>
  <w:style w:type="character" w:styleId="WW8Num261z0">
    <w:name w:val="WW8Num261z0"/>
    <w:qFormat/>
    <w:rPr/>
  </w:style>
  <w:style w:type="character" w:styleId="WW8Num262z0">
    <w:name w:val="WW8Num262z0"/>
    <w:qFormat/>
    <w:rPr>
      <w:rFonts w:ascii="Wingdings" w:hAnsi="Wingdings" w:cs="Wingdings"/>
      <w:sz w:val="10"/>
    </w:rPr>
  </w:style>
  <w:style w:type="character" w:styleId="WW8Num265z0">
    <w:name w:val="WW8Num265z0"/>
    <w:qFormat/>
    <w:rPr>
      <w:rFonts w:ascii="Wingdings" w:hAnsi="Wingdings" w:cs="Wingdings"/>
      <w:b w:val="false"/>
      <w:i w:val="false"/>
      <w:color w:val="auto"/>
      <w:sz w:val="10"/>
      <w:u w:val="none"/>
      <w:vertAlign w:val="superscript"/>
    </w:rPr>
  </w:style>
  <w:style w:type="character" w:styleId="WW8Num266z0">
    <w:name w:val="WW8Num266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68z0">
    <w:name w:val="WW8Num268z0"/>
    <w:qFormat/>
    <w:rPr/>
  </w:style>
  <w:style w:type="character" w:styleId="WW8Num270z0">
    <w:name w:val="WW8Num270z0"/>
    <w:qFormat/>
    <w:rPr>
      <w:rFonts w:ascii="Symbol" w:hAnsi="Symbol" w:cs="Symbol"/>
    </w:rPr>
  </w:style>
  <w:style w:type="character" w:styleId="WW8Num271z0">
    <w:name w:val="WW8Num271z0"/>
    <w:qFormat/>
    <w:rPr>
      <w:rFonts w:ascii="Wingdings" w:hAnsi="Wingdings" w:cs="Wingdings"/>
      <w:b w:val="false"/>
      <w:i w:val="false"/>
      <w:color w:val="auto"/>
      <w:sz w:val="16"/>
      <w:u w:val="none"/>
    </w:rPr>
  </w:style>
  <w:style w:type="character" w:styleId="WW8Num275z0">
    <w:name w:val="WW8Num275z0"/>
    <w:qFormat/>
    <w:rPr>
      <w:rFonts w:ascii="Symbol" w:hAnsi="Symbol" w:cs="Symbol"/>
      <w:vertAlign w:val="superscript"/>
    </w:rPr>
  </w:style>
  <w:style w:type="character" w:styleId="WW8Num276z0">
    <w:name w:val="WW8Num276z0"/>
    <w:qFormat/>
    <w:rPr/>
  </w:style>
  <w:style w:type="character" w:styleId="WW8Num277z0">
    <w:name w:val="WW8Num277z0"/>
    <w:qFormat/>
    <w:rPr>
      <w:rFonts w:ascii="Wingdings" w:hAnsi="Wingdings" w:cs="Wingdings"/>
    </w:rPr>
  </w:style>
  <w:style w:type="character" w:styleId="WW8Num278z0">
    <w:name w:val="WW8Num278z0"/>
    <w:qFormat/>
    <w:rPr>
      <w:rFonts w:ascii="Wingdings" w:hAnsi="Wingdings" w:cs="Wingdings"/>
      <w:b/>
      <w:i w:val="false"/>
      <w:sz w:val="28"/>
    </w:rPr>
  </w:style>
  <w:style w:type="character" w:styleId="WW8Num280z0">
    <w:name w:val="WW8Num280z0"/>
    <w:qFormat/>
    <w:rPr>
      <w:rFonts w:ascii="Wingdings" w:hAnsi="Wingdings" w:cs="Wingdings"/>
      <w:b w:val="false"/>
      <w:i w:val="false"/>
      <w:sz w:val="28"/>
      <w:u w:val="none"/>
    </w:rPr>
  </w:style>
  <w:style w:type="character" w:styleId="WW8Num281z0">
    <w:name w:val="WW8Num281z0"/>
    <w:qFormat/>
    <w:rPr>
      <w:rFonts w:ascii="Wingdings" w:hAnsi="Wingdings" w:cs="Wingdings"/>
      <w:b w:val="false"/>
      <w:i w:val="false"/>
      <w:sz w:val="12"/>
      <w:u w:val="none"/>
      <w:vertAlign w:val="superscript"/>
    </w:rPr>
  </w:style>
  <w:style w:type="character" w:styleId="WW8Num282z0">
    <w:name w:val="WW8Num282z0"/>
    <w:qFormat/>
    <w:rPr>
      <w:rFonts w:ascii="Wingdings" w:hAnsi="Wingdings" w:cs="Wingdings"/>
      <w:sz w:val="16"/>
    </w:rPr>
  </w:style>
  <w:style w:type="character" w:styleId="WW8Num283z0">
    <w:name w:val="WW8Num283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84z0">
    <w:name w:val="WW8Num284z0"/>
    <w:qFormat/>
    <w:rPr>
      <w:rFonts w:ascii="Wingdings" w:hAnsi="Wingdings" w:cs="Wingdings"/>
      <w:b w:val="false"/>
      <w:i w:val="false"/>
      <w:color w:val="auto"/>
      <w:sz w:val="12"/>
      <w:u w:val="none"/>
      <w:vertAlign w:val="superscript"/>
    </w:rPr>
  </w:style>
  <w:style w:type="character" w:styleId="WW8Num285z0">
    <w:name w:val="WW8Num285z0"/>
    <w:qFormat/>
    <w:rPr>
      <w:rFonts w:ascii="Wingdings" w:hAnsi="Wingdings" w:cs="Wingdings"/>
      <w:b w:val="false"/>
      <w:i w:val="false"/>
      <w:color w:val="auto"/>
      <w:sz w:val="20"/>
      <w:u w:val="none"/>
      <w:vertAlign w:val="superscript"/>
    </w:rPr>
  </w:style>
  <w:style w:type="character" w:styleId="WW8Num286z0">
    <w:name w:val="WW8Num286z0"/>
    <w:qFormat/>
    <w:rPr>
      <w:rFonts w:ascii="Wingdings" w:hAnsi="Wingdings" w:cs="Wingdings"/>
      <w:sz w:val="16"/>
    </w:rPr>
  </w:style>
  <w:style w:type="character" w:styleId="WW8Num287z0">
    <w:name w:val="WW8Num287z0"/>
    <w:qFormat/>
    <w:rPr>
      <w:rFonts w:ascii="Wingdings" w:hAnsi="Wingdings" w:cs="Wingdings"/>
      <w:b w:val="false"/>
      <w:i w:val="false"/>
      <w:sz w:val="28"/>
    </w:rPr>
  </w:style>
  <w:style w:type="character" w:styleId="WW8Num288z0">
    <w:name w:val="WW8Num288z0"/>
    <w:qFormat/>
    <w:rPr>
      <w:rFonts w:ascii="Symbol" w:hAnsi="Symbol" w:cs="Symbol"/>
    </w:rPr>
  </w:style>
  <w:style w:type="character" w:styleId="WW8Num290z0">
    <w:name w:val="WW8Num290z0"/>
    <w:qFormat/>
    <w:rPr/>
  </w:style>
  <w:style w:type="character" w:styleId="WW8Num292z0">
    <w:name w:val="WW8Num292z0"/>
    <w:qFormat/>
    <w:rPr/>
  </w:style>
  <w:style w:type="character" w:styleId="WW8Num293z0">
    <w:name w:val="WW8Num293z0"/>
    <w:qFormat/>
    <w:rPr>
      <w:rFonts w:ascii="Symbol" w:hAnsi="Symbol" w:cs="Symbol"/>
    </w:rPr>
  </w:style>
  <w:style w:type="character" w:styleId="WW8Num296z0">
    <w:name w:val="WW8Num296z0"/>
    <w:qFormat/>
    <w:rPr>
      <w:rFonts w:ascii="Wingdings" w:hAnsi="Wingdings" w:cs="Wingdings"/>
      <w:b w:val="false"/>
      <w:i w:val="false"/>
      <w:color w:val="auto"/>
      <w:sz w:val="12"/>
      <w:u w:val="none"/>
      <w:vertAlign w:val="superscript"/>
    </w:rPr>
  </w:style>
  <w:style w:type="character" w:styleId="WW8Num299z0">
    <w:name w:val="WW8Num299z0"/>
    <w:qFormat/>
    <w:rPr/>
  </w:style>
  <w:style w:type="character" w:styleId="WW8Num301z0">
    <w:name w:val="WW8Num301z0"/>
    <w:qFormat/>
    <w:rPr>
      <w:rFonts w:ascii="Symbol" w:hAnsi="Symbol" w:cs="Symbol"/>
    </w:rPr>
  </w:style>
  <w:style w:type="character" w:styleId="WW8Num302z0">
    <w:name w:val="WW8Num302z0"/>
    <w:qFormat/>
    <w:rPr/>
  </w:style>
  <w:style w:type="character" w:styleId="WW8Num304z0">
    <w:name w:val="WW8Num304z0"/>
    <w:qFormat/>
    <w:rPr/>
  </w:style>
  <w:style w:type="character" w:styleId="WW8Num305z0">
    <w:name w:val="WW8Num305z0"/>
    <w:qFormat/>
    <w:rPr>
      <w:rFonts w:ascii="Arial" w:hAnsi="Arial" w:cs="Arial"/>
      <w:b w:val="false"/>
      <w:i/>
      <w:color w:val="auto"/>
      <w:sz w:val="16"/>
      <w:u w:val="none"/>
    </w:rPr>
  </w:style>
  <w:style w:type="character" w:styleId="WW8Num307z0">
    <w:name w:val="WW8Num307z0"/>
    <w:qFormat/>
    <w:rPr/>
  </w:style>
  <w:style w:type="character" w:styleId="WW8Num308z0">
    <w:name w:val="WW8Num308z0"/>
    <w:qFormat/>
    <w:rPr>
      <w:rFonts w:ascii="Wingdings" w:hAnsi="Wingdings" w:cs="Wingdings"/>
      <w:b w:val="false"/>
      <w:i w:val="false"/>
      <w:color w:val="auto"/>
      <w:sz w:val="16"/>
      <w:u w:val="none"/>
    </w:rPr>
  </w:style>
  <w:style w:type="character" w:styleId="WW8Num309z0">
    <w:name w:val="WW8Num309z0"/>
    <w:qFormat/>
    <w:rPr/>
  </w:style>
  <w:style w:type="character" w:styleId="WW8Num310z0">
    <w:name w:val="WW8Num310z0"/>
    <w:qFormat/>
    <w:rPr>
      <w:rFonts w:ascii="Wingdings" w:hAnsi="Wingdings" w:cs="Wingdings"/>
      <w:b w:val="false"/>
      <w:i w:val="false"/>
      <w:color w:val="auto"/>
      <w:sz w:val="12"/>
      <w:u w:val="none"/>
      <w:vertAlign w:val="superscript"/>
    </w:rPr>
  </w:style>
  <w:style w:type="character" w:styleId="WW8Num315z0">
    <w:name w:val="WW8Num315z0"/>
    <w:qFormat/>
    <w:rPr>
      <w:rFonts w:ascii="Wingdings" w:hAnsi="Wingdings" w:cs="Wingdings"/>
      <w:b w:val="false"/>
      <w:i w:val="false"/>
      <w:color w:val="auto"/>
      <w:sz w:val="12"/>
      <w:u w:val="none"/>
      <w:vertAlign w:val="superscript"/>
    </w:rPr>
  </w:style>
  <w:style w:type="character" w:styleId="WW8Num316z0">
    <w:name w:val="WW8Num316z0"/>
    <w:qFormat/>
    <w:rPr>
      <w:rFonts w:ascii="Wingdings" w:hAnsi="Wingdings" w:cs="Wingdings"/>
      <w:b w:val="false"/>
      <w:i w:val="false"/>
      <w:color w:val="auto"/>
      <w:sz w:val="16"/>
      <w:u w:val="none"/>
    </w:rPr>
  </w:style>
  <w:style w:type="character" w:styleId="WW8Num317z0">
    <w:name w:val="WW8Num317z0"/>
    <w:qFormat/>
    <w:rPr>
      <w:rFonts w:ascii="Symbol" w:hAnsi="Symbol" w:cs="Symbol"/>
    </w:rPr>
  </w:style>
  <w:style w:type="character" w:styleId="WW8Num322z0">
    <w:name w:val="WW8Num322z0"/>
    <w:qFormat/>
    <w:rPr/>
  </w:style>
  <w:style w:type="character" w:styleId="WW8Num323z0">
    <w:name w:val="WW8Num323z0"/>
    <w:qFormat/>
    <w:rPr>
      <w:rFonts w:ascii="Wingdings" w:hAnsi="Wingdings" w:cs="Wingdings"/>
      <w:color w:val="auto"/>
      <w:sz w:val="20"/>
    </w:rPr>
  </w:style>
  <w:style w:type="character" w:styleId="WW8Num325z0">
    <w:name w:val="WW8Num325z0"/>
    <w:qFormat/>
    <w:rPr>
      <w:rFonts w:ascii="Wingdings" w:hAnsi="Wingdings" w:cs="Wingdings"/>
    </w:rPr>
  </w:style>
  <w:style w:type="character" w:styleId="WW8Num326z0">
    <w:name w:val="WW8Num326z0"/>
    <w:qFormat/>
    <w:rPr>
      <w:rFonts w:ascii="Wingdings" w:hAnsi="Wingdings" w:cs="Wingdings"/>
    </w:rPr>
  </w:style>
  <w:style w:type="character" w:styleId="WW8Num327z0">
    <w:name w:val="WW8Num327z0"/>
    <w:qFormat/>
    <w:rPr>
      <w:rFonts w:ascii="Symbol" w:hAnsi="Symbol" w:cs="Symbol"/>
      <w:vertAlign w:val="superscript"/>
    </w:rPr>
  </w:style>
  <w:style w:type="character" w:styleId="WW8Num328z0">
    <w:name w:val="WW8Num328z0"/>
    <w:qFormat/>
    <w:rPr/>
  </w:style>
  <w:style w:type="character" w:styleId="WW8Num329z0">
    <w:name w:val="WW8Num329z0"/>
    <w:qFormat/>
    <w:rPr>
      <w:rFonts w:ascii="Arial" w:hAnsi="Arial" w:cs="Arial"/>
      <w:b w:val="false"/>
      <w:i/>
      <w:color w:val="auto"/>
      <w:sz w:val="16"/>
      <w:u w:val="none"/>
    </w:rPr>
  </w:style>
  <w:style w:type="character" w:styleId="WW8Num330z0">
    <w:name w:val="WW8Num330z0"/>
    <w:qFormat/>
    <w:rPr/>
  </w:style>
  <w:style w:type="character" w:styleId="WW8Num331z0">
    <w:name w:val="WW8Num331z0"/>
    <w:qFormat/>
    <w:rPr/>
  </w:style>
  <w:style w:type="character" w:styleId="WW8Num333z0">
    <w:name w:val="WW8Num333z0"/>
    <w:qFormat/>
    <w:rPr/>
  </w:style>
  <w:style w:type="character" w:styleId="WW8Num335z0">
    <w:name w:val="WW8Num335z0"/>
    <w:qFormat/>
    <w:rPr>
      <w:rFonts w:ascii="Wingdings" w:hAnsi="Wingdings" w:cs="Wingdings"/>
      <w:b/>
      <w:i w:val="false"/>
      <w:sz w:val="28"/>
      <w:u w:val="none"/>
    </w:rPr>
  </w:style>
  <w:style w:type="character" w:styleId="WW8Num337z0">
    <w:name w:val="WW8Num337z0"/>
    <w:qFormat/>
    <w:rPr/>
  </w:style>
  <w:style w:type="character" w:styleId="WW8Num339z0">
    <w:name w:val="WW8Num339z0"/>
    <w:qFormat/>
    <w:rPr/>
  </w:style>
  <w:style w:type="character" w:styleId="WW8Num340z0">
    <w:name w:val="WW8Num340z0"/>
    <w:qFormat/>
    <w:rPr>
      <w:rFonts w:ascii="Wingdings" w:hAnsi="Wingdings" w:cs="Wingdings"/>
      <w:b w:val="false"/>
      <w:i w:val="false"/>
      <w:color w:val="auto"/>
      <w:sz w:val="28"/>
    </w:rPr>
  </w:style>
  <w:style w:type="character" w:styleId="WW8Num341z0">
    <w:name w:val="WW8Num341z0"/>
    <w:qFormat/>
    <w:rPr/>
  </w:style>
  <w:style w:type="character" w:styleId="WW8Num345z0">
    <w:name w:val="WW8Num345z0"/>
    <w:qFormat/>
    <w:rPr/>
  </w:style>
  <w:style w:type="character" w:styleId="WW8Num347z0">
    <w:name w:val="WW8Num347z0"/>
    <w:qFormat/>
    <w:rPr>
      <w:rFonts w:ascii="Wingdings" w:hAnsi="Wingdings" w:cs="Wingdings"/>
      <w:color w:val="auto"/>
      <w:sz w:val="20"/>
    </w:rPr>
  </w:style>
  <w:style w:type="character" w:styleId="WW8Num350z0">
    <w:name w:val="WW8Num350z0"/>
    <w:qFormat/>
    <w:rPr>
      <w:rFonts w:ascii="Wingdings" w:hAnsi="Wingdings" w:cs="Wingdings"/>
    </w:rPr>
  </w:style>
  <w:style w:type="character" w:styleId="WW8Num352z0">
    <w:name w:val="WW8Num352z0"/>
    <w:qFormat/>
    <w:rPr>
      <w:rFonts w:ascii="Wingdings" w:hAnsi="Wingdings" w:cs="Wingdings"/>
      <w:b w:val="false"/>
      <w:i w:val="false"/>
      <w:color w:val="auto"/>
      <w:sz w:val="16"/>
      <w:u w:val="none"/>
    </w:rPr>
  </w:style>
  <w:style w:type="character" w:styleId="WW8Num357z0">
    <w:name w:val="WW8Num357z0"/>
    <w:qFormat/>
    <w:rPr>
      <w:rFonts w:ascii="Wingdings" w:hAnsi="Wingdings" w:cs="Wingdings"/>
      <w:b w:val="false"/>
      <w:i w:val="false"/>
      <w:color w:val="auto"/>
      <w:sz w:val="10"/>
      <w:u w:val="none"/>
      <w:vertAlign w:val="superscript"/>
    </w:rPr>
  </w:style>
  <w:style w:type="character" w:styleId="WW8Num359z0">
    <w:name w:val="WW8Num359z0"/>
    <w:qFormat/>
    <w:rPr>
      <w:rFonts w:ascii="Wingdings" w:hAnsi="Wingdings" w:cs="Wingdings"/>
      <w:b/>
      <w:i/>
      <w:sz w:val="24"/>
    </w:rPr>
  </w:style>
  <w:style w:type="character" w:styleId="WW8Num361z0">
    <w:name w:val="WW8Num361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62z0">
    <w:name w:val="WW8Num362z0"/>
    <w:qFormat/>
    <w:rPr>
      <w:rFonts w:ascii="Wingdings" w:hAnsi="Wingdings" w:cs="Wingdings"/>
      <w:b w:val="false"/>
      <w:i w:val="false"/>
      <w:color w:val="auto"/>
      <w:sz w:val="28"/>
      <w:u w:val="none"/>
      <w:vertAlign w:val="superscript"/>
    </w:rPr>
  </w:style>
  <w:style w:type="character" w:styleId="WW8Num363z0">
    <w:name w:val="WW8Num363z0"/>
    <w:qFormat/>
    <w:rPr>
      <w:rFonts w:ascii="Arial" w:hAnsi="Arial" w:cs="Arial"/>
      <w:b w:val="false"/>
      <w:i w:val="false"/>
      <w:color w:val="auto"/>
      <w:sz w:val="16"/>
      <w:u w:val="none"/>
    </w:rPr>
  </w:style>
  <w:style w:type="character" w:styleId="WW8Num364z0">
    <w:name w:val="WW8Num364z0"/>
    <w:qFormat/>
    <w:rPr>
      <w:rFonts w:ascii="Wingdings" w:hAnsi="Wingdings" w:cs="Wingdings"/>
      <w:b/>
      <w:i/>
      <w:sz w:val="24"/>
    </w:rPr>
  </w:style>
  <w:style w:type="character" w:styleId="WW8Num366z0">
    <w:name w:val="WW8Num366z0"/>
    <w:qFormat/>
    <w:rPr/>
  </w:style>
  <w:style w:type="character" w:styleId="WW8Num367z0">
    <w:name w:val="WW8Num367z0"/>
    <w:qFormat/>
    <w:rPr>
      <w:rFonts w:ascii="Wingdings" w:hAnsi="Wingdings" w:cs="Wingdings"/>
      <w:sz w:val="20"/>
    </w:rPr>
  </w:style>
  <w:style w:type="character" w:styleId="WW8Num368z0">
    <w:name w:val="WW8Num368z0"/>
    <w:qFormat/>
    <w:rPr>
      <w:rFonts w:ascii="Wingdings" w:hAnsi="Wingdings" w:cs="Wingdings"/>
      <w:b/>
      <w:i/>
      <w:sz w:val="24"/>
    </w:rPr>
  </w:style>
  <w:style w:type="character" w:styleId="WW8Num370z0">
    <w:name w:val="WW8Num370z0"/>
    <w:qFormat/>
    <w:rPr>
      <w:rFonts w:ascii="Wingdings" w:hAnsi="Wingdings" w:cs="Wingdings"/>
      <w:sz w:val="16"/>
    </w:rPr>
  </w:style>
  <w:style w:type="character" w:styleId="WW8Num371z0">
    <w:name w:val="WW8Num371z0"/>
    <w:qFormat/>
    <w:rPr>
      <w:rFonts w:ascii="Wingdings" w:hAnsi="Wingdings" w:cs="Wingdings"/>
      <w:b/>
      <w:i/>
      <w:sz w:val="24"/>
    </w:rPr>
  </w:style>
  <w:style w:type="character" w:styleId="WW8Num374z0">
    <w:name w:val="WW8Num374z0"/>
    <w:qFormat/>
    <w:rPr>
      <w:rFonts w:ascii="Wingdings" w:hAnsi="Wingdings" w:cs="Wingdings"/>
      <w:b/>
      <w:i/>
      <w:sz w:val="24"/>
    </w:rPr>
  </w:style>
  <w:style w:type="character" w:styleId="WW8Num375z0">
    <w:name w:val="WW8Num375z0"/>
    <w:qFormat/>
    <w:rPr>
      <w:rFonts w:ascii="Wingdings" w:hAnsi="Wingdings" w:cs="Wingdings"/>
    </w:rPr>
  </w:style>
  <w:style w:type="character" w:styleId="WW8Num376z0">
    <w:name w:val="WW8Num376z0"/>
    <w:qFormat/>
    <w:rPr>
      <w:rFonts w:ascii="Symbol" w:hAnsi="Symbol" w:cs="Symbol"/>
    </w:rPr>
  </w:style>
  <w:style w:type="character" w:styleId="WW8Num377z0">
    <w:name w:val="WW8Num377z0"/>
    <w:qFormat/>
    <w:rPr>
      <w:rFonts w:ascii="Wingdings" w:hAnsi="Wingdings" w:cs="Wingdings"/>
      <w:color w:val="auto"/>
      <w:sz w:val="20"/>
    </w:rPr>
  </w:style>
  <w:style w:type="character" w:styleId="WW8Num378z0">
    <w:name w:val="WW8Num378z0"/>
    <w:qFormat/>
    <w:rPr>
      <w:rFonts w:ascii="Wingdings" w:hAnsi="Wingdings" w:cs="Wingdings"/>
      <w:b/>
      <w:i/>
      <w:sz w:val="24"/>
    </w:rPr>
  </w:style>
  <w:style w:type="character" w:styleId="WW8Num381z0">
    <w:name w:val="WW8Num381z0"/>
    <w:qFormat/>
    <w:rPr>
      <w:rFonts w:ascii="Symbol" w:hAnsi="Symbol" w:cs="Symbol"/>
    </w:rPr>
  </w:style>
  <w:style w:type="character" w:styleId="WW8Num382z0">
    <w:name w:val="WW8Num382z0"/>
    <w:qFormat/>
    <w:rPr>
      <w:rFonts w:ascii="Wingdings" w:hAnsi="Wingdings" w:cs="Wingdings"/>
    </w:rPr>
  </w:style>
  <w:style w:type="character" w:styleId="WW8Num383z0">
    <w:name w:val="WW8Num383z0"/>
    <w:qFormat/>
    <w:rPr>
      <w:rFonts w:ascii="Wingdings" w:hAnsi="Wingdings" w:cs="Wingdings"/>
      <w:b w:val="false"/>
      <w:i w:val="false"/>
      <w:sz w:val="14"/>
      <w:u w:val="none"/>
    </w:rPr>
  </w:style>
  <w:style w:type="character" w:styleId="WW8Num384z0">
    <w:name w:val="WW8Num384z0"/>
    <w:qFormat/>
    <w:rPr>
      <w:rFonts w:ascii="Wingdings" w:hAnsi="Wingdings" w:cs="Wingdings"/>
      <w:b w:val="false"/>
      <w:i w:val="false"/>
      <w:sz w:val="16"/>
      <w:u w:val="none"/>
    </w:rPr>
  </w:style>
  <w:style w:type="character" w:styleId="WW8NumSt65z0">
    <w:name w:val="WW8NumSt65z0"/>
    <w:qFormat/>
    <w:rPr>
      <w:rFonts w:ascii="Wingdings" w:hAnsi="Wingdings" w:cs="Wingdings"/>
    </w:rPr>
  </w:style>
  <w:style w:type="character" w:styleId="WW8NumSt76z0">
    <w:name w:val="WW8NumSt76z0"/>
    <w:qFormat/>
    <w:rPr>
      <w:rFonts w:ascii="Wingdings" w:hAnsi="Wingdings" w:cs="Wingdings"/>
      <w:sz w:val="28"/>
    </w:rPr>
  </w:style>
  <w:style w:type="character" w:styleId="WW8NumSt77z0">
    <w:name w:val="WW8NumSt77z0"/>
    <w:qFormat/>
    <w:rPr>
      <w:rFonts w:ascii="Wingdings" w:hAnsi="Wingdings" w:cs="Wingdings"/>
      <w:sz w:val="12"/>
    </w:rPr>
  </w:style>
  <w:style w:type="character" w:styleId="WW8NumSt118z0">
    <w:name w:val="WW8NumSt118z0"/>
    <w:qFormat/>
    <w:rPr>
      <w:rFonts w:ascii="Wingdings" w:hAnsi="Wingdings" w:cs="Wingdings"/>
      <w:sz w:val="12"/>
    </w:rPr>
  </w:style>
  <w:style w:type="character" w:styleId="WW8NumSt123z0">
    <w:name w:val="WW8NumSt123z0"/>
    <w:qFormat/>
    <w:rPr>
      <w:rFonts w:ascii="Wingdings" w:hAnsi="Wingdings" w:cs="Wingdings"/>
    </w:rPr>
  </w:style>
  <w:style w:type="character" w:styleId="WW8NumSt126z0">
    <w:name w:val="WW8NumSt126z0"/>
    <w:qFormat/>
    <w:rPr>
      <w:rFonts w:ascii="Wingdings" w:hAnsi="Wingdings" w:cs="Wingdings"/>
    </w:rPr>
  </w:style>
  <w:style w:type="character" w:styleId="WW8NumSt128z0">
    <w:name w:val="WW8NumSt128z0"/>
    <w:qFormat/>
    <w:rPr>
      <w:rFonts w:ascii="Wingdings" w:hAnsi="Wingdings" w:cs="Wingdings"/>
    </w:rPr>
  </w:style>
  <w:style w:type="character" w:styleId="WW8NumSt173z0">
    <w:name w:val="WW8NumSt173z0"/>
    <w:qFormat/>
    <w:rPr>
      <w:rFonts w:ascii="Wingdings" w:hAnsi="Wingdings" w:cs="Wingdings"/>
      <w:sz w:val="28"/>
    </w:rPr>
  </w:style>
  <w:style w:type="character" w:styleId="WW8NumSt177z0">
    <w:name w:val="WW8NumSt177z0"/>
    <w:qFormat/>
    <w:rPr>
      <w:rFonts w:ascii="Wingdings" w:hAnsi="Wingdings" w:cs="Wingdings"/>
    </w:rPr>
  </w:style>
  <w:style w:type="character" w:styleId="WW8NumSt178z0">
    <w:name w:val="WW8NumSt178z0"/>
    <w:qFormat/>
    <w:rPr>
      <w:rFonts w:ascii="Wingdings" w:hAnsi="Wingdings" w:cs="Wingdings"/>
    </w:rPr>
  </w:style>
  <w:style w:type="character" w:styleId="WW8NumSt181z0">
    <w:name w:val="WW8NumSt181z0"/>
    <w:qFormat/>
    <w:rPr>
      <w:rFonts w:ascii="Wingdings" w:hAnsi="Wingdings" w:cs="Wingdings"/>
      <w:sz w:val="28"/>
    </w:rPr>
  </w:style>
  <w:style w:type="character" w:styleId="WW8NumSt182z0">
    <w:name w:val="WW8NumSt182z0"/>
    <w:qFormat/>
    <w:rPr>
      <w:rFonts w:ascii="Wingdings" w:hAnsi="Wingdings" w:cs="Wingdings"/>
    </w:rPr>
  </w:style>
  <w:style w:type="character" w:styleId="WW8NumSt183z0">
    <w:name w:val="WW8NumSt183z0"/>
    <w:qFormat/>
    <w:rPr>
      <w:rFonts w:ascii="Wingdings" w:hAnsi="Wingdings" w:cs="Wingdings"/>
    </w:rPr>
  </w:style>
  <w:style w:type="character" w:styleId="WW8NumSt184z0">
    <w:name w:val="WW8NumSt184z0"/>
    <w:qFormat/>
    <w:rPr>
      <w:rFonts w:ascii="Wingdings" w:hAnsi="Wingdings" w:cs="Wingdings"/>
    </w:rPr>
  </w:style>
  <w:style w:type="character" w:styleId="WW8NumSt185z0">
    <w:name w:val="WW8NumSt185z0"/>
    <w:qFormat/>
    <w:rPr>
      <w:rFonts w:ascii="Wingdings" w:hAnsi="Wingdings" w:cs="Wingdings"/>
      <w:sz w:val="18"/>
    </w:rPr>
  </w:style>
  <w:style w:type="character" w:styleId="WW8NumSt211z0">
    <w:name w:val="WW8NumSt211z0"/>
    <w:qFormat/>
    <w:rPr>
      <w:rFonts w:ascii="Wingdings" w:hAnsi="Wingdings" w:cs="Wingdings"/>
    </w:rPr>
  </w:style>
  <w:style w:type="character" w:styleId="WW8NumSt212z0">
    <w:name w:val="WW8NumSt212z0"/>
    <w:qFormat/>
    <w:rPr>
      <w:rFonts w:ascii="Wingdings" w:hAnsi="Wingdings" w:cs="Wingdings"/>
      <w:b w:val="false"/>
      <w:i w:val="false"/>
      <w:sz w:val="12"/>
    </w:rPr>
  </w:style>
  <w:style w:type="character" w:styleId="WW8NumSt385z0">
    <w:name w:val="WW8NumSt385z0"/>
    <w:qFormat/>
    <w:rPr>
      <w:rFonts w:ascii="Times New Roman" w:hAnsi="Times New Roman" w:cs="Times New Roman"/>
      <w:sz w:val="24"/>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CommentReference">
    <w:name w:val="Comment Reference"/>
    <w:basedOn w:val="DefaultParagraphFont"/>
    <w:qFormat/>
    <w:rPr>
      <w:sz w:val="16"/>
    </w:rPr>
  </w:style>
  <w:style w:type="character" w:styleId="PageNumber">
    <w:name w:val="page number"/>
    <w:basedOn w:val="DefaultParagraphFont"/>
    <w:rPr>
      <w:rFonts w:ascii="Arial" w:hAnsi="Arial" w:cs="Arial"/>
      <w:b/>
      <w:sz w:val="18"/>
    </w:rPr>
  </w:style>
  <w:style w:type="character" w:styleId="FootnoteCharacters">
    <w:name w:val="Footnote Characters"/>
    <w:basedOn w:val="DefaultParagraphFont"/>
    <w:qFormat/>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jc w:val="center"/>
    </w:pPr>
    <w:rPr>
      <w:rFonts w:ascii="Arial" w:hAnsi="Arial" w:cs="Arial"/>
      <w:b/>
      <w:sz w:val="28"/>
      <w:u w:val="single"/>
    </w:rPr>
  </w:style>
  <w:style w:type="paragraph" w:styleId="BodyText">
    <w:name w:val="Body Text"/>
    <w:basedOn w:val="Normal"/>
    <w:pPr>
      <w:spacing w:before="120" w:after="120"/>
      <w:ind w:hanging="0" w:start="2160" w:end="0"/>
    </w:pPr>
    <w:rPr>
      <w:rFonts w:ascii="Arial" w:hAnsi="Arial" w:cs="Arial"/>
    </w:rPr>
  </w:style>
  <w:style w:type="paragraph" w:styleId="List">
    <w:name w:val="List"/>
    <w:basedOn w:val="BodyText"/>
    <w:pPr/>
    <w:rPr>
      <w:rFonts w:cs="NotoSans NF"/>
    </w:rPr>
  </w:style>
  <w:style w:type="paragraph" w:styleId="Caption">
    <w:name w:val="caption"/>
    <w:basedOn w:val="Normal"/>
    <w:qFormat/>
    <w:pPr>
      <w:numPr>
        <w:ilvl w:val="0"/>
        <w:numId w:val="17"/>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rFonts w:ascii="Arial" w:hAnsi="Arial" w:cs="Arial"/>
    </w:rPr>
  </w:style>
  <w:style w:type="paragraph" w:styleId="FootnoteText">
    <w:name w:val="footnote text"/>
    <w:basedOn w:val="Normal"/>
    <w:pPr/>
    <w:rPr/>
  </w:style>
  <w:style w:type="paragraph" w:styleId="A0b">
    <w:name w:val="A:0:b"/>
    <w:basedOn w:val="Normal"/>
    <w:qFormat/>
    <w:pPr>
      <w:numPr>
        <w:ilvl w:val="0"/>
        <w:numId w:val="6"/>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B0bbox">
    <w:name w:val="B:0:bbox"/>
    <w:basedOn w:val="Normal"/>
    <w:qFormat/>
    <w:pPr>
      <w:numPr>
        <w:ilvl w:val="0"/>
        <w:numId w:val="10"/>
      </w:numPr>
      <w:spacing w:before="100" w:after="100"/>
      <w:ind w:hanging="360" w:start="2880" w:end="0"/>
    </w:pPr>
    <w:rPr>
      <w:rFonts w:ascii="Arial" w:hAnsi="Arial" w:cs="Arial"/>
    </w:rPr>
  </w:style>
  <w:style w:type="paragraph" w:styleId="B0n">
    <w:name w:val="B:0:n"/>
    <w:basedOn w:val="Normal"/>
    <w:qFormat/>
    <w:pPr>
      <w:numPr>
        <w:ilvl w:val="0"/>
        <w:numId w:val="9"/>
      </w:numPr>
      <w:spacing w:before="100" w:after="100"/>
      <w:ind w:hanging="360" w:start="0" w:end="0"/>
    </w:pPr>
    <w:rPr>
      <w:rFonts w:ascii="Arial" w:hAnsi="Arial" w:cs="Arial"/>
    </w:rPr>
  </w:style>
  <w:style w:type="paragraph" w:styleId="D1b">
    <w:name w:val="D:1:b"/>
    <w:basedOn w:val="Normal"/>
    <w:qFormat/>
    <w:pPr>
      <w:numPr>
        <w:ilvl w:val="0"/>
        <w:numId w:val="8"/>
      </w:numPr>
      <w:spacing w:before="100" w:after="100"/>
    </w:pPr>
    <w:rPr>
      <w:rFonts w:ascii="Arial" w:hAnsi="Arial" w:cs="Arial"/>
      <w:sz w:val="28"/>
    </w:rPr>
  </w:style>
  <w:style w:type="paragraph" w:styleId="Sub0b">
    <w:name w:val="Sub:0:b"/>
    <w:basedOn w:val="Normal"/>
    <w:qFormat/>
    <w:pPr>
      <w:numPr>
        <w:ilvl w:val="0"/>
        <w:numId w:val="15"/>
      </w:numPr>
      <w:tabs>
        <w:tab w:val="clear" w:pos="720"/>
      </w:tabs>
      <w:spacing w:before="240" w:after="120"/>
      <w:ind w:hanging="720" w:start="0" w:end="0"/>
    </w:pPr>
    <w:rPr>
      <w:rFonts w:ascii="Arial" w:hAnsi="Arial" w:cs="Arial"/>
      <w:b/>
      <w:sz w:val="24"/>
    </w:rPr>
  </w:style>
  <w:style w:type="paragraph" w:styleId="Note">
    <w:name w:val="Note"/>
    <w:basedOn w:val="Normal"/>
    <w:next w:val="Normal"/>
    <w:qFormat/>
    <w:pPr>
      <w:numPr>
        <w:ilvl w:val="0"/>
        <w:numId w:val="16"/>
      </w:numPr>
      <w:spacing w:before="40" w:after="0"/>
    </w:pPr>
    <w:rPr>
      <w:rFonts w:ascii="Arial" w:hAnsi="Arial" w:cs="Arial"/>
      <w:sz w:val="16"/>
    </w:rPr>
  </w:style>
  <w:style w:type="paragraph" w:styleId="Source">
    <w:name w:val="Source"/>
    <w:basedOn w:val="Normal"/>
    <w:next w:val="Normal"/>
    <w:qFormat/>
    <w:pPr>
      <w:numPr>
        <w:ilvl w:val="0"/>
        <w:numId w:val="14"/>
      </w:numPr>
      <w:spacing w:before="40" w:after="0"/>
    </w:pPr>
    <w:rPr>
      <w:rFonts w:ascii="Arial" w:hAnsi="Arial" w:cs="Arial"/>
      <w:sz w:val="16"/>
    </w:rPr>
  </w:style>
  <w:style w:type="paragraph" w:styleId="abullets">
    <w:name w:val="a:bullets"/>
    <w:basedOn w:val="Normal"/>
    <w:qFormat/>
    <w:pPr>
      <w:numPr>
        <w:ilvl w:val="0"/>
        <w:numId w:val="13"/>
      </w:numPr>
      <w:spacing w:before="240" w:after="0"/>
    </w:pPr>
    <w:rPr>
      <w:rFonts w:ascii="Arial" w:hAnsi="Arial" w:cs="Arial"/>
      <w:lang w:val="en-GB"/>
    </w:rPr>
  </w:style>
  <w:style w:type="paragraph" w:styleId="B1bbox">
    <w:name w:val="B:1:bbox"/>
    <w:basedOn w:val="Normal"/>
    <w:qFormat/>
    <w:pPr>
      <w:numPr>
        <w:ilvl w:val="0"/>
        <w:numId w:val="3"/>
      </w:numPr>
      <w:tabs>
        <w:tab w:val="clear" w:pos="720"/>
      </w:tabs>
      <w:spacing w:before="100" w:after="100"/>
    </w:pPr>
    <w:rPr>
      <w:rFonts w:ascii="Arial" w:hAnsi="Arial" w:cs="Arial"/>
      <w:sz w:val="28"/>
    </w:rPr>
  </w:style>
  <w:style w:type="paragraph" w:styleId="B1bboxA">
    <w:name w:val="B:1:bbox:A"/>
    <w:basedOn w:val="B1bbox"/>
    <w:qFormat/>
    <w:pPr>
      <w:numPr>
        <w:ilvl w:val="0"/>
        <w:numId w:val="12"/>
      </w:numPr>
      <w:tabs>
        <w:tab w:val="left" w:pos="1800" w:leader="none"/>
      </w:tabs>
      <w:ind w:hanging="0" w:start="1800" w:end="0"/>
    </w:pPr>
    <w:rPr/>
  </w:style>
  <w:style w:type="paragraph" w:styleId="Sec0">
    <w:name w:val="Sec:0"/>
    <w:basedOn w:val="Normal"/>
    <w:next w:val="Normal"/>
    <w:qFormat/>
    <w:pPr>
      <w:pageBreakBefore/>
      <w:spacing w:before="0" w:after="360"/>
    </w:pPr>
    <w:rPr>
      <w:rFonts w:ascii="Arial" w:hAnsi="Arial" w:cs="Arial"/>
      <w:b/>
      <w:sz w:val="36"/>
    </w:rPr>
  </w:style>
  <w:style w:type="paragraph" w:styleId="Sub0n">
    <w:name w:val="Sub:0:n"/>
    <w:basedOn w:val="Normal"/>
    <w:qFormat/>
    <w:pPr>
      <w:keepNext w:val="true"/>
      <w:spacing w:before="240" w:after="120"/>
    </w:pPr>
    <w:rPr>
      <w:rFonts w:ascii="Arial" w:hAnsi="Arial" w:cs="Arial"/>
      <w:b/>
      <w:sz w:val="24"/>
    </w:rPr>
  </w:style>
  <w:style w:type="paragraph" w:styleId="SecRN0">
    <w:name w:val="Sec:RN:0"/>
    <w:basedOn w:val="Sub0n"/>
    <w:qFormat/>
    <w:pPr>
      <w:ind w:hanging="720" w:start="720" w:end="0"/>
    </w:pPr>
    <w:rPr/>
  </w:style>
  <w:style w:type="paragraph" w:styleId="A0">
    <w:name w:val="A:0"/>
    <w:basedOn w:val="Normal"/>
    <w:qFormat/>
    <w:pPr>
      <w:spacing w:before="100" w:after="100"/>
      <w:ind w:hanging="0" w:start="1440" w:end="0"/>
    </w:pPr>
    <w:rPr>
      <w:rFonts w:ascii="Arial" w:hAnsi="Arial" w:cs="Arial"/>
    </w:rPr>
  </w:style>
  <w:style w:type="paragraph" w:styleId="Ttl0">
    <w:name w:val="Tt:l:0"/>
    <w:basedOn w:val="Normal"/>
    <w:qFormat/>
    <w:pPr>
      <w:spacing w:before="240" w:after="0"/>
    </w:pPr>
    <w:rPr>
      <w:rFonts w:ascii="Arial" w:hAnsi="Arial" w:cs="Arial"/>
      <w:b/>
      <w:sz w:val="28"/>
    </w:rPr>
  </w:style>
  <w:style w:type="paragraph" w:styleId="HdLet0">
    <w:name w:val="Hd:Let:0"/>
    <w:basedOn w:val="Sub0n"/>
    <w:qFormat/>
    <w:pPr>
      <w:ind w:hanging="720" w:start="1440" w:end="0"/>
    </w:pPr>
    <w:rPr/>
  </w:style>
  <w:style w:type="paragraph" w:styleId="Hidden">
    <w:name w:val="Hidden"/>
    <w:basedOn w:val="Normal"/>
    <w:qFormat/>
    <w:pPr/>
    <w:rPr>
      <w:rFonts w:ascii="Arial" w:hAnsi="Arial" w:cs="Arial"/>
      <w:b/>
      <w:vanish/>
      <w:color w:val="FF0000"/>
      <w:sz w:val="1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0">
    <w:name w:val="T:0"/>
    <w:basedOn w:val="Normal"/>
    <w:qFormat/>
    <w:pPr>
      <w:spacing w:before="100" w:after="100"/>
    </w:pPr>
    <w:rPr>
      <w:rFonts w:ascii="Arial" w:hAnsi="Arial" w:cs="Arial"/>
    </w:rPr>
  </w:style>
  <w:style w:type="paragraph" w:styleId="Ttel1">
    <w:name w:val="Tt:el:1"/>
    <w:basedOn w:val="Normal"/>
    <w:qFormat/>
    <w:pPr>
      <w:spacing w:before="240" w:after="0"/>
    </w:pPr>
    <w:rPr>
      <w:rFonts w:ascii="Arial" w:hAnsi="Arial" w:cs="Arial"/>
      <w:b/>
      <w:sz w:val="28"/>
    </w:rPr>
  </w:style>
  <w:style w:type="paragraph" w:styleId="Tuel1">
    <w:name w:val="Tu:el:1"/>
    <w:basedOn w:val="Normal"/>
    <w:qFormat/>
    <w:pPr>
      <w:spacing w:before="0" w:after="20"/>
    </w:pPr>
    <w:rPr>
      <w:rFonts w:ascii="Arial" w:hAnsi="Arial" w:cs="Arial"/>
      <w:b/>
      <w:i/>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nl0">
    <w:name w:val="Tn:l:0"/>
    <w:basedOn w:val="Normal"/>
    <w:qFormat/>
    <w:pPr>
      <w:spacing w:before="20" w:after="0"/>
      <w:ind w:hanging="720" w:start="720" w:end="0"/>
    </w:pPr>
    <w:rPr>
      <w:rFonts w:ascii="Arial" w:hAnsi="Arial" w:cs="Arial"/>
      <w:i/>
      <w:sz w:val="16"/>
    </w:rPr>
  </w:style>
  <w:style w:type="paragraph" w:styleId="CommentText">
    <w:name w:val="Comment Text"/>
    <w:basedOn w:val="Normal"/>
    <w:qFormat/>
    <w:pPr/>
    <w:rPr>
      <w:rFonts w:ascii="Arial" w:hAnsi="Arial" w:cs="Arial"/>
    </w:rPr>
  </w:style>
  <w:style w:type="paragraph" w:styleId="DocumentMap">
    <w:name w:val="Document Map"/>
    <w:basedOn w:val="Normal"/>
    <w:qFormat/>
    <w:pPr>
      <w:shd w:fill="000080" w:val="clear"/>
    </w:pPr>
    <w:rPr>
      <w:rFonts w:ascii="Tahoma" w:hAnsi="Tahoma" w:cs="Tahoma"/>
    </w:rPr>
  </w:style>
  <w:style w:type="paragraph" w:styleId="Footer">
    <w:name w:val="footer"/>
    <w:basedOn w:val="Normal"/>
    <w:pPr>
      <w:tabs>
        <w:tab w:val="clear" w:pos="720"/>
        <w:tab w:val="center" w:pos="4320" w:leader="none"/>
        <w:tab w:val="right" w:pos="8640" w:leader="none"/>
      </w:tabs>
    </w:pPr>
    <w:rPr/>
  </w:style>
  <w:style w:type="paragraph" w:styleId="Justified">
    <w:name w:val="Justified"/>
    <w:basedOn w:val="Normal"/>
    <w:next w:val="Heading2"/>
    <w:qFormat/>
    <w:pPr>
      <w:spacing w:before="0" w:after="120"/>
      <w:jc w:val="both"/>
    </w:pPr>
    <w:rPr>
      <w:rFonts w:ascii="Arial" w:hAnsi="Arial" w:cs="Arial"/>
      <w:sz w:val="26"/>
    </w:rPr>
  </w:style>
  <w:style w:type="paragraph" w:styleId="BodyText2">
    <w:name w:val="Body Text 2"/>
    <w:basedOn w:val="Normal"/>
    <w:qFormat/>
    <w:pPr/>
    <w:rPr>
      <w:b/>
      <w:sz w:val="24"/>
      <w:u w:val="single"/>
    </w:rPr>
  </w:style>
  <w:style w:type="paragraph" w:styleId="TableText">
    <w:name w:val="Table Text"/>
    <w:basedOn w:val="Normal"/>
    <w:qFormat/>
    <w:pPr>
      <w:spacing w:before="36" w:after="36"/>
    </w:pPr>
    <w:rPr>
      <w:rFonts w:ascii="Arial" w:hAnsi="Arial" w:cs="Arial"/>
    </w:rPr>
  </w:style>
  <w:style w:type="paragraph" w:styleId="BodyTextIndent2">
    <w:name w:val="Body Text Indent 2"/>
    <w:basedOn w:val="Normal"/>
    <w:qFormat/>
    <w:pPr>
      <w:ind w:hanging="0" w:start="2430" w:end="0"/>
    </w:pPr>
    <w:rPr>
      <w:rFonts w:ascii="Arial" w:hAnsi="Arial" w:cs="Arial"/>
    </w:rPr>
  </w:style>
  <w:style w:type="paragraph" w:styleId="Tsl0">
    <w:name w:val="Ts:l:0"/>
    <w:basedOn w:val="Normal"/>
    <w:qFormat/>
    <w:pPr>
      <w:spacing w:before="0" w:after="120"/>
    </w:pPr>
    <w:rPr>
      <w:rFonts w:ascii="Arial" w:hAnsi="Arial" w:cs="Arial"/>
      <w:b/>
      <w:sz w:val="24"/>
    </w:rPr>
  </w:style>
  <w:style w:type="paragraph" w:styleId="BodyText3">
    <w:name w:val="Body Text 3"/>
    <w:basedOn w:val="Normal"/>
    <w:qFormat/>
    <w:pPr/>
    <w:rPr>
      <w:b/>
      <w:color w:val="000000"/>
      <w:sz w:val="40"/>
      <w:lang w:eastAsia="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 w:type="numbering" w:styleId="WW8Num383">
    <w:name w:val="WW8Num383"/>
    <w:qFormat/>
  </w:style>
  <w:style w:type="numbering" w:styleId="WW8Num384">
    <w:name w:val="WW8Num38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wmf"/><Relationship Id="rId11" Type="http://schemas.openxmlformats.org/officeDocument/2006/relationships/oleObject" Target="embeddings/oleObject1.bin"/><Relationship Id="rId12" Type="http://schemas.openxmlformats.org/officeDocument/2006/relationships/image" Target="media/image3.wmf"/><Relationship Id="rId13" Type="http://schemas.openxmlformats.org/officeDocument/2006/relationships/oleObject" Target="embeddings/oleObject2.bin"/><Relationship Id="rId14" Type="http://schemas.openxmlformats.org/officeDocument/2006/relationships/image" Target="media/image4.wmf"/><Relationship Id="rId15" Type="http://schemas.openxmlformats.org/officeDocument/2006/relationships/hyperlink" Target="../../../../../ProjFin/yellen/990920095.xls" TargetMode="External"/><Relationship Id="rId16" Type="http://schemas.openxmlformats.org/officeDocument/2006/relationships/oleObject" Target="embeddings/oleObject3.bin"/><Relationship Id="rId17" Type="http://schemas.openxmlformats.org/officeDocument/2006/relationships/image" Target="media/image5.wmf"/><Relationship Id="rId18" Type="http://schemas.openxmlformats.org/officeDocument/2006/relationships/hyperlink" Target="../../../../../ProjFin/yellen/990920095.xls" TargetMode="External"/><Relationship Id="rId19" Type="http://schemas.openxmlformats.org/officeDocument/2006/relationships/image" Target="media/image6.png"/><Relationship Id="rId20" Type="http://schemas.openxmlformats.org/officeDocument/2006/relationships/image" Target="media/image7.wmf"/><Relationship Id="rId21" Type="http://schemas.openxmlformats.org/officeDocument/2006/relationships/oleObject" Target="embeddings/oleObject4.bin"/><Relationship Id="rId22" Type="http://schemas.openxmlformats.org/officeDocument/2006/relationships/image" Target="media/image8.wmf"/><Relationship Id="rId23" Type="http://schemas.openxmlformats.org/officeDocument/2006/relationships/oleObject" Target="embeddings/oleObject5.bin"/><Relationship Id="rId24" Type="http://schemas.openxmlformats.org/officeDocument/2006/relationships/image" Target="media/image9.wmf"/><Relationship Id="rId25" Type="http://schemas.openxmlformats.org/officeDocument/2006/relationships/hyperlink" Target="../../../../../ProjFin/yellen/990920095.xls" TargetMode="External"/><Relationship Id="rId26" Type="http://schemas.openxmlformats.org/officeDocument/2006/relationships/hyperlink" Target="../../../../../ProjFin/yellen/990920095.xls" TargetMode="External"/><Relationship Id="rId27" Type="http://schemas.openxmlformats.org/officeDocument/2006/relationships/oleObject" Target="embeddings/oleObject6.bin"/><Relationship Id="rId28" Type="http://schemas.openxmlformats.org/officeDocument/2006/relationships/image" Target="media/image10.wmf"/><Relationship Id="rId29" Type="http://schemas.openxmlformats.org/officeDocument/2006/relationships/package" Target="embeddings/oleObject7.pptx"/><Relationship Id="rId30" Type="http://schemas.openxmlformats.org/officeDocument/2006/relationships/image" Target="media/image11.wmf"/><Relationship Id="rId31" Type="http://schemas.openxmlformats.org/officeDocument/2006/relationships/image" Target="media/image12.wmf"/><Relationship Id="rId32" Type="http://schemas.openxmlformats.org/officeDocument/2006/relationships/oleObject" Target="embeddings/oleObject8.bin"/><Relationship Id="rId33" Type="http://schemas.openxmlformats.org/officeDocument/2006/relationships/image" Target="media/image13.wmf"/><Relationship Id="rId34" Type="http://schemas.openxmlformats.org/officeDocument/2006/relationships/hyperlink" Target="../../../../../ProjFin/yellen/990920095.xls" TargetMode="External"/><Relationship Id="rId35" Type="http://schemas.openxmlformats.org/officeDocument/2006/relationships/oleObject" Target="embeddings/oleObject9.bin"/><Relationship Id="rId36" Type="http://schemas.openxmlformats.org/officeDocument/2006/relationships/image" Target="media/image14.wmf"/><Relationship Id="rId37" Type="http://schemas.openxmlformats.org/officeDocument/2006/relationships/hyperlink" Target="../../../../../ProjFin/yellen/990920095.xls" TargetMode="External"/><Relationship Id="rId38" Type="http://schemas.openxmlformats.org/officeDocument/2006/relationships/oleObject" Target="embeddings/oleObject10.bin"/><Relationship Id="rId39" Type="http://schemas.openxmlformats.org/officeDocument/2006/relationships/image" Target="media/image15.wmf"/><Relationship Id="rId40" Type="http://schemas.openxmlformats.org/officeDocument/2006/relationships/oleObject" Target="embeddings/oleObject11.bin"/><Relationship Id="rId41" Type="http://schemas.openxmlformats.org/officeDocument/2006/relationships/image" Target="media/image16.wmf"/><Relationship Id="rId42" Type="http://schemas.openxmlformats.org/officeDocument/2006/relationships/image" Target="media/image17.wmf"/><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hyperlink" Target="http://www.alliancerto.com/" TargetMode="External"/><Relationship Id="rId46" Type="http://schemas.openxmlformats.org/officeDocument/2006/relationships/header" Target="header5.xml"/><Relationship Id="rId47" Type="http://schemas.openxmlformats.org/officeDocument/2006/relationships/header" Target="header6.xml"/><Relationship Id="rId48" Type="http://schemas.openxmlformats.org/officeDocument/2006/relationships/footer" Target="footer5.xml"/><Relationship Id="rId49" Type="http://schemas.openxmlformats.org/officeDocument/2006/relationships/footer" Target="footer6.xml"/><Relationship Id="rId50" Type="http://schemas.openxmlformats.org/officeDocument/2006/relationships/footnotes" Target="footnotes.xml"/><Relationship Id="rId51" Type="http://schemas.openxmlformats.org/officeDocument/2006/relationships/comments" Target="comment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wmf"/>
</Relationships>
</file>

<file path=word/_rels/footer2.xml.rels><?xml version="1.0" encoding="UTF-8"?>
<Relationships xmlns="http://schemas.openxmlformats.org/package/2006/relationships"><Relationship Id="rId1" Type="http://schemas.openxmlformats.org/officeDocument/2006/relationships/image" Target="media/image1.wmf"/>
</Relationships>
</file>

<file path=word/_rels/footer3.xml.rels><?xml version="1.0" encoding="UTF-8"?>
<Relationships xmlns="http://schemas.openxmlformats.org/package/2006/relationships"><Relationship Id="rId1" Type="http://schemas.openxmlformats.org/officeDocument/2006/relationships/image" Target="media/image1.wmf"/>
</Relationships>
</file>

<file path=word/_rels/footer4.xml.rels><?xml version="1.0" encoding="UTF-8"?>
<Relationships xmlns="http://schemas.openxmlformats.org/package/2006/relationships"><Relationship Id="rId1" Type="http://schemas.openxmlformats.org/officeDocument/2006/relationships/image" Target="media/image1.wmf"/>
</Relationships>
</file>

<file path=word/_rels/footer5.xml.rels><?xml version="1.0" encoding="UTF-8"?>
<Relationships xmlns="http://schemas.openxmlformats.org/package/2006/relationships"><Relationship Id="rId1" Type="http://schemas.openxmlformats.org/officeDocument/2006/relationships/image" Target="media/image1.wmf"/>
</Relationships>
</file>

<file path=word/_rels/footer6.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181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2000-07-24T17:25:00Z</dcterms:created>
  <dc:creator>Jinsung Myung</dc:creator>
  <dc:description/>
  <dc:language>en-CA</dc:language>
  <cp:lastModifiedBy>Ben Rogers</cp:lastModifiedBy>
  <cp:lastPrinted>2000-07-25T15:32:00Z</cp:lastPrinted>
  <dcterms:modified xsi:type="dcterms:W3CDTF">2000-07-25T18:19:00Z</dcterms:modified>
  <cp:revision>24</cp:revision>
  <dc:subject/>
  <dc:title>Overview of Enron’s Generation</dc:title>
</cp:coreProperties>
</file>