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outlineLvl w:val="0"/>
        <w:rPr>
          <w:b/>
        </w:rPr>
      </w:pPr>
      <w:r>
        <w:rPr>
          <w:b/>
        </w:rPr>
        <w:t>Proposed Amendment for ABX1-18 Hertzberg</w:t>
      </w:r>
    </w:p>
    <w:p>
      <w:pPr>
        <w:pStyle w:val="BodyText"/>
        <w:rPr/>
      </w:pPr>
      <w:r>
        <w:rPr/>
        <w:t>Add to Sec. 5 of bill.</w:t>
      </w:r>
    </w:p>
    <w:p>
      <w:pPr>
        <w:pStyle w:val="BodyText"/>
        <w:rPr/>
      </w:pPr>
      <w:r>
        <w:rPr/>
        <w:t>New Section 368.5 is added to the Public Utilities Code:</w:t>
      </w:r>
    </w:p>
    <w:p>
      <w:pPr>
        <w:pStyle w:val="BodyText"/>
        <w:widowControl w:val="false"/>
        <w:spacing w:before="0" w:after="240"/>
        <w:ind w:firstLine="1440" w:start="0" w:end="0"/>
        <w:rPr/>
      </w:pPr>
      <w:r>
        <w:rPr/>
        <w:t>In implementing new rates pursuant to this Section and terminating the cost recovery plans approved by the commission for each electric corporation pursuant to Sec. 368(a), the Commission shall specify that the end of the rate freeze period for purposes of calculating the charges and credits applicable to direct access customers shall terminate no earlier than the date the CPUC places into effect the retail rates and dedicated rate components provided for in Sec. 368.4.  Notwithstanding the foregoing provision or any other provision of law, an electric corporation may recover its applicable net undercollected amount, as defined in Sec. 368.3(b), and as provided for in Sec. 368.4(a).</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38/X2042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2001-01-30T20:43:00Z</dcterms:created>
  <dc:creator>Michael B. Day</dc:creator>
  <dc:description/>
  <dc:language>en-CA</dc:language>
  <cp:lastModifiedBy>Governmental Advocates, Inc.</cp:lastModifiedBy>
  <cp:lastPrinted>2001-01-29T11:12:00Z</cp:lastPrinted>
  <dcterms:modified xsi:type="dcterms:W3CDTF">2001-01-30T20:43:00Z</dcterms:modified>
  <cp:revision>2</cp:revision>
  <dc:subject/>
  <dc:title>Proposed Amendment for ABX1-18 Hertzberg</dc:title>
</cp:coreProperties>
</file>