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Heading1"/>
        <w:rPr/>
      </w:pPr>
      <w:r>
        <w:rPr/>
        <w:t>AMENDMENT TO PURCHASE AND SALE AGREEMENT</w:t>
      </w:r>
    </w:p>
    <w:p>
      <w:pPr>
        <w:pStyle w:val="Normal"/>
        <w:jc w:val="both"/>
        <w:rPr/>
      </w:pPr>
      <w:r>
        <w:rPr/>
      </w:r>
    </w:p>
    <w:p>
      <w:pPr>
        <w:pStyle w:val="Normal"/>
        <w:jc w:val="both"/>
        <w:rPr/>
      </w:pPr>
      <w:r>
        <w:rPr/>
      </w:r>
    </w:p>
    <w:p>
      <w:pPr>
        <w:pStyle w:val="Normal"/>
        <w:jc w:val="both"/>
        <w:rPr/>
      </w:pPr>
      <w:r>
        <w:rPr/>
        <w:tab/>
      </w:r>
      <w:r>
        <w:rPr>
          <w:b/>
          <w:bCs/>
        </w:rPr>
        <w:t>Enron Corp.</w:t>
      </w:r>
      <w:r>
        <w:rPr/>
        <w:t>, an Oregon corporation (“</w:t>
      </w:r>
      <w:r>
        <w:rPr>
          <w:u w:val="single"/>
        </w:rPr>
        <w:t>Seller</w:t>
      </w:r>
      <w:r>
        <w:rPr/>
        <w:t xml:space="preserve">”), and </w:t>
      </w:r>
      <w:r>
        <w:rPr>
          <w:b/>
          <w:bCs/>
        </w:rPr>
        <w:t xml:space="preserve">AEP Energy Services Gas Holding Company, </w:t>
      </w:r>
      <w:r>
        <w:rPr/>
        <w:t>a Delaware corporation (“</w:t>
      </w:r>
      <w:r>
        <w:rPr>
          <w:u w:val="single"/>
        </w:rPr>
        <w:t>Buyer</w:t>
      </w:r>
      <w:r>
        <w:rPr/>
        <w:t>”) have entered into that certain Purchase and Sale Agreement dated effective December 27, 2000 (the “</w:t>
      </w:r>
      <w:r>
        <w:rPr>
          <w:u w:val="single"/>
        </w:rPr>
        <w:t>Agreement</w:t>
      </w:r>
      <w:r>
        <w:rPr/>
        <w:t>”), wherein Buyer has agreed to purchase from Seller all of the issued and outstanding shares of Houston Pipe Line Company and all the issued and outstanding membership interests in Lodisco, LLC, a Delaware limited liability company.  Buyer and Seller now mutually desire to amend the Agreement as follows:</w:t>
      </w:r>
    </w:p>
    <w:p>
      <w:pPr>
        <w:pStyle w:val="Normal"/>
        <w:jc w:val="both"/>
        <w:rPr/>
      </w:pPr>
      <w:r>
        <w:rPr/>
      </w:r>
    </w:p>
    <w:p>
      <w:pPr>
        <w:pStyle w:val="Normal"/>
        <w:jc w:val="both"/>
        <w:rPr/>
      </w:pPr>
      <w:r>
        <w:rPr/>
      </w:r>
    </w:p>
    <w:p>
      <w:pPr>
        <w:pStyle w:val="Normal"/>
        <w:ind w:hanging="720" w:start="720" w:end="0"/>
        <w:jc w:val="both"/>
        <w:rPr/>
      </w:pPr>
      <w:r>
        <w:rPr/>
        <w:t>1.</w:t>
        <w:tab/>
        <w:t>Section 3.2(c)(xiii) of the Agreement is hereby deleted in its entirety.</w:t>
      </w:r>
    </w:p>
    <w:p>
      <w:pPr>
        <w:pStyle w:val="Normal"/>
        <w:ind w:hanging="720" w:start="1440" w:end="0"/>
        <w:jc w:val="both"/>
        <w:rPr/>
      </w:pPr>
      <w:r>
        <w:rPr/>
      </w:r>
    </w:p>
    <w:p>
      <w:pPr>
        <w:pStyle w:val="Normal"/>
        <w:ind w:hanging="720" w:start="720" w:end="0"/>
        <w:jc w:val="both"/>
        <w:rPr/>
      </w:pPr>
      <w:r>
        <w:rPr/>
        <w:t>2.</w:t>
        <w:tab/>
        <w:t>Section 7.19 of the Agreement is hereby amended to read as follows:</w:t>
      </w:r>
    </w:p>
    <w:p>
      <w:pPr>
        <w:pStyle w:val="Normal"/>
        <w:ind w:hanging="720" w:start="720" w:end="0"/>
        <w:jc w:val="both"/>
        <w:rPr/>
      </w:pPr>
      <w:r>
        <w:rPr/>
      </w:r>
    </w:p>
    <w:p>
      <w:pPr>
        <w:pStyle w:val="Normal"/>
        <w:ind w:start="1440" w:end="0"/>
        <w:jc w:val="both"/>
        <w:rPr/>
      </w:pPr>
      <w:r>
        <w:rPr/>
        <w:t>“</w:t>
      </w:r>
      <w:r>
        <w:rPr/>
        <w:t>Section 7.19</w:t>
        <w:tab/>
      </w:r>
      <w:r>
        <w:rPr>
          <w:b/>
          <w:bCs/>
          <w:u w:val="single"/>
        </w:rPr>
        <w:t>Treatment of Bank Accounts; Collection of Receivables</w:t>
      </w:r>
      <w:r>
        <w:rPr/>
        <w:t xml:space="preserve">. </w:t>
      </w:r>
    </w:p>
    <w:p>
      <w:pPr>
        <w:pStyle w:val="Normal"/>
        <w:ind w:start="1440" w:end="0"/>
        <w:jc w:val="both"/>
        <w:rPr/>
      </w:pPr>
      <w:r>
        <w:rPr/>
      </w:r>
    </w:p>
    <w:p>
      <w:pPr>
        <w:pStyle w:val="Normal"/>
        <w:numPr>
          <w:ilvl w:val="0"/>
          <w:numId w:val="2"/>
        </w:numPr>
        <w:jc w:val="both"/>
        <w:rPr/>
      </w:pPr>
      <w:r>
        <w:rPr/>
        <w:t xml:space="preserve">Seller shall retain all bank accounts set forth on </w:t>
      </w:r>
      <w:r>
        <w:rPr>
          <w:b/>
          <w:bCs/>
          <w:u w:val="single"/>
        </w:rPr>
        <w:t>Schedule 4.20</w:t>
      </w:r>
      <w:r>
        <w:rPr/>
        <w:t xml:space="preserve"> (the “Retained Bank Accounts”) after the Closing Date, and Buyer shall establish new bank accounts (the “New Bank Accounts”) for the Acquired Companies with financial institutions of Buyer’s choosing.  After the Closing Date, Buyer agrees that it will notify or cause the Acquired Companies to notify all customers of the Acquired Companies of the new bank accounts and corresponding changes in the remittance instructions applicable to payments due and owing to an Acquired Company against receivables (the “Buyer Receivables”) that are not included among the account receivables retained by Seller as Excluded Assets (the “Seller Receivables”).  </w:t>
      </w:r>
    </w:p>
    <w:p>
      <w:pPr>
        <w:pStyle w:val="Normal"/>
        <w:ind w:start="1440" w:end="0"/>
        <w:jc w:val="both"/>
        <w:rPr/>
      </w:pPr>
      <w:r>
        <w:rPr/>
      </w:r>
    </w:p>
    <w:p>
      <w:pPr>
        <w:pStyle w:val="Normal"/>
        <w:numPr>
          <w:ilvl w:val="0"/>
          <w:numId w:val="2"/>
        </w:numPr>
        <w:jc w:val="both"/>
        <w:rPr/>
      </w:pPr>
      <w:r>
        <w:rPr/>
        <w:t xml:space="preserve">For a period of 90 days after the Closing Date (the “Collection Period”), Seller shall review each individual payment deposited into the Retained Bank Accounts that exceeds $1,000,000 (a “Large Payment”).  If any Large Payment is in payment of a Buyer Receivable, Seller shall use reasonable efforts to forward such Large Payment to Buyer (at an account to be designated in writing by Buyer to Seller prior to the Closing Date), together with any applicable interest as described below, prior to the close of the second full Business Day following such deposit.  Seller shall use reasonable efforts to forward to Buyer any payment of a Buyer Receivable that is not a Large Payment (a “Small Payment”), together with any applicable interest as described below, on or before the tenth Business Day of the month following the month in which such Small Payment was deposited in the Retained Bank Accounts. Any Small Payment owed to Buyer and not forwarded to Buyer on the same Business Day it is deposited in to the Retained Bank Accounts, shall accrue interest at the Sweep Rate, as hereinafter defined, for the first full Business Day it is retained in the Retained Bank Accounts and at the Investment Interest Rate, as hereinafter defined, until forwarded to Buyer.  Any Large Payment owed to Buyer and not forwarded to Buyer on the same Business Day it is received by Seller into the Retained Bank Accounts, shall accrue interest at the Sweep Rate for the first full Business Day after it is deposited in the Retained Bank Accounts and at the Enron CP Rate, as hereinafter defined, thereafter until forwarded to Buyer. </w:t>
      </w:r>
    </w:p>
    <w:p>
      <w:pPr>
        <w:pStyle w:val="Normal"/>
        <w:ind w:start="1440" w:end="0"/>
        <w:jc w:val="both"/>
        <w:rPr/>
      </w:pPr>
      <w:r>
        <w:rPr/>
      </w:r>
    </w:p>
    <w:p>
      <w:pPr>
        <w:pStyle w:val="Normal"/>
        <w:numPr>
          <w:ilvl w:val="0"/>
          <w:numId w:val="2"/>
        </w:numPr>
        <w:jc w:val="both"/>
        <w:rPr/>
      </w:pPr>
      <w:r>
        <w:rPr/>
        <w:t>Buyer shall use reasonable efforts to forward to Seller any payment of a Seller Receivable, together with any applicable interest as described below, on or before the tenth Business Day of the month following the month in which such payment was deposited in the New Bank Accounts. Any such payment owed to Seller and not forwarded to Seller on the same Business Day it is deposited in to the New Bank Accounts, shall accrue interest at the Sweep Rate, as hereinafter defined, for the first full Business Day after deposit in the New Bank Accounts and at AEP’s Cost of Borrowing , as hereinafter defined, thereafter until forwarded to Seller.</w:t>
      </w:r>
    </w:p>
    <w:p>
      <w:pPr>
        <w:pStyle w:val="Normal"/>
        <w:jc w:val="both"/>
        <w:rPr/>
      </w:pPr>
      <w:r>
        <w:rPr/>
      </w:r>
    </w:p>
    <w:p>
      <w:pPr>
        <w:pStyle w:val="Normal"/>
        <w:numPr>
          <w:ilvl w:val="0"/>
          <w:numId w:val="2"/>
        </w:numPr>
        <w:jc w:val="both"/>
        <w:rPr/>
      </w:pPr>
      <w:r>
        <w:rPr/>
        <w:t>The “Investment Interest Rate” shall mean the interest rate at which funds in the Retained Bank Accounts or the New Bank Accounts, as the case may be, accrue interest.   The “Sweep Rate” shall mean the daily interest rate paid by Seller’s or Buyer’s financial institution, as the case may be, on funds in the Retained Bank Accounts or the New Bank Accounts, as applicable.  The “Enron CP Rate” shall mean the daily interest rate calculated using the Enron Corp. Commercial Paper Direct Issue rate as published by Bloomberg (DOCP-Direct Issue).  “AEP’s Cost of Borrowing” shall mean the daily interest rate calculated using the A1/P1 Discounted Commercial Paper rate as published by Bloomberg (DCPD-Discount).</w:t>
      </w:r>
    </w:p>
    <w:p>
      <w:pPr>
        <w:pStyle w:val="Normal"/>
        <w:jc w:val="both"/>
        <w:rPr/>
      </w:pPr>
      <w:r>
        <w:rPr/>
      </w:r>
    </w:p>
    <w:p>
      <w:pPr>
        <w:pStyle w:val="Normal"/>
        <w:numPr>
          <w:ilvl w:val="0"/>
          <w:numId w:val="2"/>
        </w:numPr>
        <w:jc w:val="both"/>
        <w:rPr/>
      </w:pPr>
      <w:r>
        <w:rPr/>
        <w:t>For purposes of determining whether or not a payment is applied against a Seller Receivable or a Buyer Receivable, all payments on accounts shall be applied to the account receivable designated by the account debtor, or if not otherwise reasonably identifiable, then against such debtor’s account on an oldest-balance-first basis.  Each Party shall furnish such information and cooperation as the other Party may reasonably requests with respect to the identification of payments against Seller Receivables or Buyer Receivables as appropriate.</w:t>
      </w:r>
    </w:p>
    <w:p>
      <w:pPr>
        <w:pStyle w:val="Normal"/>
        <w:jc w:val="both"/>
        <w:rPr/>
      </w:pPr>
      <w:r>
        <w:rPr/>
      </w:r>
    </w:p>
    <w:p>
      <w:pPr>
        <w:pStyle w:val="Normal"/>
        <w:numPr>
          <w:ilvl w:val="0"/>
          <w:numId w:val="2"/>
        </w:numPr>
        <w:jc w:val="both"/>
        <w:rPr/>
      </w:pPr>
      <w:r>
        <w:rPr/>
        <w:t>Neither Buyer nor either Acquired Company shall have any right to and shall not, without the prior written consent of the Seller, compromise any Seller Receivable.”</w:t>
      </w:r>
    </w:p>
    <w:p>
      <w:pPr>
        <w:pStyle w:val="Normal"/>
        <w:jc w:val="both"/>
        <w:rPr/>
      </w:pPr>
      <w:r>
        <w:rPr/>
      </w:r>
    </w:p>
    <w:p>
      <w:pPr>
        <w:pStyle w:val="Normal"/>
        <w:ind w:start="1440" w:end="0"/>
        <w:jc w:val="both"/>
        <w:rPr/>
      </w:pPr>
      <w:r>
        <w:rPr/>
      </w:r>
    </w:p>
    <w:p>
      <w:pPr>
        <w:pStyle w:val="Normal"/>
        <w:jc w:val="both"/>
        <w:rPr/>
      </w:pPr>
      <w:r>
        <w:rPr/>
        <w:t>3.</w:t>
        <w:tab/>
        <w:t>Schedule 7.8(a) of the Agreement is hereby amended by adding Section (ix) as follows:</w:t>
      </w:r>
    </w:p>
    <w:p>
      <w:pPr>
        <w:pStyle w:val="Normal"/>
        <w:jc w:val="both"/>
        <w:rPr/>
      </w:pPr>
      <w:r>
        <w:rPr/>
      </w:r>
    </w:p>
    <w:p>
      <w:pPr>
        <w:pStyle w:val="Normal"/>
        <w:ind w:start="1440" w:end="0"/>
        <w:jc w:val="both"/>
        <w:rPr/>
      </w:pPr>
      <w:r>
        <w:rPr/>
        <w:t>“</w:t>
      </w:r>
      <w:r>
        <w:rPr/>
        <w:t>(ix)</w:t>
        <w:tab/>
        <w:t>All bank accounts set forth on Schedule 4.20.”</w:t>
      </w:r>
    </w:p>
    <w:p>
      <w:pPr>
        <w:pStyle w:val="Normal"/>
        <w:jc w:val="both"/>
        <w:rPr/>
      </w:pPr>
      <w:r>
        <w:rPr/>
      </w:r>
    </w:p>
    <w:p>
      <w:pPr>
        <w:pStyle w:val="Normal"/>
        <w:jc w:val="both"/>
        <w:rPr/>
      </w:pPr>
      <w:r>
        <w:rPr/>
        <w:t>4.</w:t>
        <w:tab/>
        <w:t>All capitalized terms used in this amendment that are not defined herein shall have the meaning ascribed to such terms in the Agreement:</w:t>
      </w:r>
    </w:p>
    <w:p>
      <w:pPr>
        <w:pStyle w:val="Normal"/>
        <w:ind w:hanging="720" w:start="1440" w:end="0"/>
        <w:jc w:val="both"/>
        <w:rPr/>
      </w:pPr>
      <w:r>
        <w:rPr/>
      </w:r>
    </w:p>
    <w:p>
      <w:pPr>
        <w:pStyle w:val="Normal"/>
        <w:jc w:val="both"/>
        <w:rPr/>
      </w:pPr>
      <w:r>
        <w:rPr/>
        <w:t>5.</w:t>
        <w:tab/>
        <w:t>Except as expressly amended hereby, the Agreement remains unchanged and in full force and effect.</w:t>
      </w:r>
    </w:p>
    <w:p>
      <w:pPr>
        <w:pStyle w:val="Normal"/>
        <w:jc w:val="both"/>
        <w:rPr/>
      </w:pPr>
      <w:r>
        <w:rPr/>
      </w:r>
    </w:p>
    <w:p>
      <w:pPr>
        <w:pStyle w:val="Normal"/>
        <w:jc w:val="both"/>
        <w:rPr/>
      </w:pPr>
      <w:r>
        <w:rPr/>
        <w:tab/>
        <w:t xml:space="preserve">Executed as of the ___ day of April 2001. </w:t>
      </w:r>
    </w:p>
    <w:p>
      <w:pPr>
        <w:pStyle w:val="Normal"/>
        <w:jc w:val="both"/>
        <w:rPr/>
      </w:pPr>
      <w:r>
        <w:rPr/>
        <w:tab/>
        <w:tab/>
        <w:tab/>
        <w:tab/>
        <w:tab/>
        <w:tab/>
      </w:r>
    </w:p>
    <w:p>
      <w:pPr>
        <w:pStyle w:val="Normal"/>
        <w:jc w:val="both"/>
        <w:rPr/>
      </w:pPr>
      <w:r>
        <w:rPr/>
      </w:r>
    </w:p>
    <w:p>
      <w:pPr>
        <w:pStyle w:val="Normal"/>
        <w:jc w:val="both"/>
        <w:rPr/>
      </w:pPr>
      <w:r>
        <w:rPr/>
      </w:r>
    </w:p>
    <w:p>
      <w:pPr>
        <w:pStyle w:val="Normal"/>
        <w:jc w:val="both"/>
        <w:rPr>
          <w:b/>
          <w:bCs/>
        </w:rPr>
      </w:pPr>
      <w:r>
        <w:rPr>
          <w:b/>
          <w:bCs/>
        </w:rPr>
        <w:t>AEP ENERGY SERVICES GAS</w:t>
      </w:r>
    </w:p>
    <w:p>
      <w:pPr>
        <w:pStyle w:val="Normal"/>
        <w:jc w:val="both"/>
        <w:rPr>
          <w:b/>
          <w:bCs/>
        </w:rPr>
      </w:pPr>
      <w:r>
        <w:rPr>
          <w:b/>
          <w:bCs/>
        </w:rPr>
        <w:t>HOLDING COMPANY</w:t>
      </w:r>
    </w:p>
    <w:p>
      <w:pPr>
        <w:pStyle w:val="Normal"/>
        <w:jc w:val="both"/>
        <w:rPr/>
      </w:pPr>
      <w:r>
        <w:rPr/>
      </w:r>
    </w:p>
    <w:p>
      <w:pPr>
        <w:pStyle w:val="Normal"/>
        <w:jc w:val="both"/>
        <w:rPr/>
      </w:pPr>
      <w:r>
        <w:rPr/>
      </w:r>
    </w:p>
    <w:p>
      <w:pPr>
        <w:pStyle w:val="Normal"/>
        <w:jc w:val="both"/>
        <w:rPr/>
      </w:pPr>
      <w:r>
        <w:rPr/>
        <w:t>By:</w:t>
      </w:r>
      <w:r>
        <w:rPr>
          <w:u w:val="single"/>
        </w:rPr>
        <w:tab/>
        <w:tab/>
        <w:tab/>
        <w:tab/>
        <w:tab/>
        <w:tab/>
      </w:r>
    </w:p>
    <w:p>
      <w:pPr>
        <w:pStyle w:val="Normal"/>
        <w:jc w:val="both"/>
        <w:rPr/>
      </w:pPr>
      <w:r>
        <w:rPr/>
        <w:t>Name:</w:t>
      </w:r>
      <w:r>
        <w:rPr>
          <w:u w:val="single"/>
        </w:rPr>
        <w:tab/>
        <w:tab/>
        <w:tab/>
        <w:tab/>
        <w:tab/>
        <w:tab/>
      </w:r>
    </w:p>
    <w:p>
      <w:pPr>
        <w:pStyle w:val="Normal"/>
        <w:jc w:val="both"/>
        <w:rPr/>
      </w:pPr>
      <w:r>
        <w:rPr/>
        <w:t>Title:</w:t>
      </w:r>
      <w:r>
        <w:rPr>
          <w:u w:val="single"/>
        </w:rPr>
        <w:tab/>
        <w:tab/>
        <w:tab/>
        <w:tab/>
        <w:tab/>
        <w:tab/>
      </w:r>
    </w:p>
    <w:p>
      <w:pPr>
        <w:pStyle w:val="Normal"/>
        <w:jc w:val="both"/>
        <w:rPr>
          <w:u w:val="single"/>
        </w:rPr>
      </w:pPr>
      <w:r>
        <w:rPr>
          <w:u w:val="single"/>
        </w:rPr>
      </w:r>
    </w:p>
    <w:p>
      <w:pPr>
        <w:pStyle w:val="Normal"/>
        <w:jc w:val="both"/>
        <w:rPr>
          <w:b/>
          <w:bCs/>
        </w:rPr>
      </w:pPr>
      <w:r>
        <w:rPr>
          <w:b/>
          <w:bCs/>
        </w:rPr>
        <w:t>ENRON CORP.</w:t>
      </w:r>
    </w:p>
    <w:p>
      <w:pPr>
        <w:pStyle w:val="Normal"/>
        <w:jc w:val="both"/>
        <w:rPr>
          <w:b/>
          <w:bCs/>
        </w:rPr>
      </w:pPr>
      <w:r>
        <w:rPr>
          <w:b/>
          <w:bCs/>
        </w:rPr>
      </w:r>
    </w:p>
    <w:p>
      <w:pPr>
        <w:pStyle w:val="Normal"/>
        <w:jc w:val="both"/>
        <w:rPr>
          <w:b/>
          <w:bCs/>
        </w:rPr>
      </w:pPr>
      <w:r>
        <w:rPr>
          <w:b/>
          <w:bCs/>
        </w:rPr>
      </w:r>
    </w:p>
    <w:p>
      <w:pPr>
        <w:pStyle w:val="Normal"/>
        <w:jc w:val="both"/>
        <w:rPr/>
      </w:pPr>
      <w:r>
        <w:rPr/>
        <w:t>By:</w:t>
      </w:r>
      <w:r>
        <w:rPr>
          <w:u w:val="single"/>
        </w:rPr>
        <w:tab/>
        <w:tab/>
        <w:tab/>
        <w:tab/>
        <w:tab/>
        <w:tab/>
      </w:r>
    </w:p>
    <w:p>
      <w:pPr>
        <w:pStyle w:val="Normal"/>
        <w:jc w:val="both"/>
        <w:rPr/>
      </w:pPr>
      <w:r>
        <w:rPr/>
        <w:t>Name:</w:t>
      </w:r>
      <w:r>
        <w:rPr>
          <w:u w:val="single"/>
        </w:rPr>
        <w:tab/>
        <w:tab/>
        <w:tab/>
        <w:tab/>
        <w:tab/>
        <w:tab/>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t>Title:</w:t>
      </w:r>
      <w:r>
        <w:rPr>
          <w:u w:val="single"/>
        </w:rPr>
        <w:tab/>
        <w:tab/>
        <w:tab/>
        <w:tab/>
        <w:tab/>
        <w:tab/>
      </w:r>
    </w:p>
    <w:p>
      <w:pPr>
        <w:pStyle w:val="Normal"/>
        <w:jc w:val="center"/>
        <w:rPr>
          <w:u w:val="single"/>
        </w:rPr>
      </w:pPr>
      <w:r>
        <w:rPr>
          <w:u w:val="single"/>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/mnt/main-storage/datasets/enron-docs/doc/Amendment_to_PSA.docv3.doc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/mnt/main-storage/datasets/enron-docs/doc/Amendment_to_PSA.docv3.doc</w:t>
    </w:r>
    <w:r>
      <w:rPr>
        <w:sz w:val="14"/>
      </w:rPr>
      <w:fldChar w:fldCharType="end"/>
    </w:r>
  </w:p>
  <w:p>
    <w:pPr>
      <w:pStyle w:val="Footer"/>
      <w:rPr>
        <w:sz w:val="14"/>
      </w:rPr>
    </w:pPr>
    <w:r>
      <w:rPr>
        <w:sz w:val="1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/mnt/main-storage/datasets/enron-docs/doc/Amendment_to_PSA.docv3.doc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2001-03-30T18:54:00Z</dcterms:created>
  <dc:creator>pradfor</dc:creator>
  <dc:description/>
  <dc:language>en-CA</dc:language>
  <cp:lastModifiedBy>akoehle</cp:lastModifiedBy>
  <cp:lastPrinted>2001-03-30T12:37:00Z</cp:lastPrinted>
  <dcterms:modified xsi:type="dcterms:W3CDTF">2001-03-30T18:54:00Z</dcterms:modified>
  <cp:revision>2</cp:revision>
  <dc:subject/>
  <dc:title>AMENDMENT</dc:title>
</cp:coreProperties>
</file>