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AMENDMENT TO BASE CONTRACT FOR SHORT-TERM </w:t>
      </w:r>
    </w:p>
    <w:p>
      <w:pPr>
        <w:pStyle w:val="Normal"/>
        <w:jc w:val="center"/>
        <w:rPr/>
      </w:pPr>
      <w:r>
        <w:rPr/>
        <w:t>SALE AND PURCHASE OF NATURAL GAS</w:t>
      </w:r>
    </w:p>
    <w:p>
      <w:pPr>
        <w:pStyle w:val="Normal"/>
        <w:rPr/>
      </w:pPr>
      <w:r>
        <w:rPr/>
      </w:r>
    </w:p>
    <w:p>
      <w:pPr>
        <w:pStyle w:val="Normal"/>
        <w:jc w:val="both"/>
        <w:rPr/>
      </w:pPr>
      <w:r>
        <w:rPr/>
        <w:tab/>
        <w:t>This Amendment to Base Contract for Short-Term Sale and Purchase of Natural Gas is made and entered into effective as of the 1st day of August, 2001, by and between Enron North America Corp. (formerly know as Enron Capital &amp; Trade Resources Corp.) (“Company”) and Kinder Morgan Texas Pipeline, L.P.(“Customer”).</w:t>
      </w:r>
    </w:p>
    <w:p>
      <w:pPr>
        <w:pStyle w:val="Normal"/>
        <w:rPr/>
      </w:pPr>
      <w:r>
        <w:rPr/>
      </w:r>
    </w:p>
    <w:p>
      <w:pPr>
        <w:pStyle w:val="Normal"/>
        <w:jc w:val="center"/>
        <w:rPr/>
      </w:pPr>
      <w:r>
        <w:rPr/>
        <w:t>W I T N E S SE T H</w:t>
      </w:r>
    </w:p>
    <w:p>
      <w:pPr>
        <w:pStyle w:val="Normal"/>
        <w:rPr/>
      </w:pPr>
      <w:r>
        <w:rPr/>
      </w:r>
    </w:p>
    <w:p>
      <w:pPr>
        <w:pStyle w:val="Normal"/>
        <w:jc w:val="both"/>
        <w:rPr/>
      </w:pPr>
      <w:r>
        <w:rPr/>
        <w:tab/>
        <w:t>WHEREAS, the Parties entered into that certain Base Contract for Short-Term Sale and Purchase of Natural Gas effective January 1, 2000 (“the Agreement”) covering transactions for the purchase and sale of Gas;</w:t>
      </w:r>
    </w:p>
    <w:p>
      <w:pPr>
        <w:pStyle w:val="Normal"/>
        <w:jc w:val="both"/>
        <w:rPr/>
      </w:pPr>
      <w:r>
        <w:rPr/>
      </w:r>
    </w:p>
    <w:p>
      <w:pPr>
        <w:pStyle w:val="Normal"/>
        <w:jc w:val="both"/>
        <w:rPr/>
      </w:pPr>
      <w:r>
        <w:rPr/>
        <w:tab/>
        <w:t>WHEREAS, the Parties now desire to amend the Agreement with respect to the designation of the confirming party.</w:t>
      </w:r>
    </w:p>
    <w:p>
      <w:pPr>
        <w:pStyle w:val="Normal"/>
        <w:jc w:val="both"/>
        <w:rPr/>
      </w:pPr>
      <w:r>
        <w:rPr/>
      </w:r>
    </w:p>
    <w:p>
      <w:pPr>
        <w:pStyle w:val="Normal"/>
        <w:jc w:val="both"/>
        <w:rPr/>
      </w:pPr>
      <w:r>
        <w:rPr/>
        <w:tab/>
        <w:t>NOW THEREFORE, in consideration of the premises and the agreements herein contained, the Parties agree as follows:</w:t>
      </w:r>
    </w:p>
    <w:p>
      <w:pPr>
        <w:pStyle w:val="Normal"/>
        <w:jc w:val="both"/>
        <w:rPr/>
      </w:pPr>
      <w:r>
        <w:rPr/>
      </w:r>
    </w:p>
    <w:p>
      <w:pPr>
        <w:pStyle w:val="Normal"/>
        <w:numPr>
          <w:ilvl w:val="0"/>
          <w:numId w:val="1"/>
        </w:numPr>
        <w:jc w:val="both"/>
        <w:rPr/>
      </w:pPr>
      <w:r>
        <w:rPr/>
        <w:t>All references in any writing related to the Agreement shall be to the Agreement as amended hereby.</w:t>
      </w:r>
    </w:p>
    <w:p>
      <w:pPr>
        <w:pStyle w:val="Normal"/>
        <w:numPr>
          <w:ilvl w:val="0"/>
          <w:numId w:val="1"/>
        </w:numPr>
        <w:jc w:val="both"/>
        <w:rPr/>
      </w:pPr>
      <w:r>
        <w:rPr/>
        <w:t>All capitalized terms used herein unless otherwise defined shall have the meanings given to them in the Agreement.</w:t>
      </w:r>
    </w:p>
    <w:p>
      <w:pPr>
        <w:pStyle w:val="Normal"/>
        <w:numPr>
          <w:ilvl w:val="0"/>
          <w:numId w:val="1"/>
        </w:numPr>
        <w:jc w:val="both"/>
        <w:rPr/>
      </w:pPr>
      <w:r>
        <w:rPr/>
        <w:t>The Parties hereby acknowledge and agree that, except as specifically amended hereby, the Agreement shall remain in full force and effect in accordance with its terms.</w:t>
      </w:r>
    </w:p>
    <w:p>
      <w:pPr>
        <w:pStyle w:val="Normal"/>
        <w:numPr>
          <w:ilvl w:val="0"/>
          <w:numId w:val="1"/>
        </w:numPr>
        <w:jc w:val="both"/>
        <w:rPr/>
      </w:pPr>
      <w:r>
        <w:rPr/>
        <w:t>This Amendment may be executed in counterparts each of which taken together shall constitute one and the same instrument.</w:t>
      </w:r>
    </w:p>
    <w:p>
      <w:pPr>
        <w:pStyle w:val="Normal"/>
        <w:numPr>
          <w:ilvl w:val="0"/>
          <w:numId w:val="1"/>
        </w:numPr>
        <w:jc w:val="both"/>
        <w:rPr/>
      </w:pPr>
      <w:r>
        <w:rPr/>
        <w:t>The following box replaces and restates the box on the front page of the Agreement regarding Section 2.5.</w:t>
      </w:r>
    </w:p>
    <w:p>
      <w:pPr>
        <w:pStyle w:val="Header"/>
        <w:tabs>
          <w:tab w:val="clear" w:pos="4320"/>
          <w:tab w:val="clear" w:pos="8640"/>
        </w:tabs>
        <w:rPr>
          <w:sz w:val="20"/>
          <w:lang w:val="en-CA" w:eastAsia="en-CA"/>
        </w:rPr>
      </w:pPr>
      <w:r>
        <w:rPr>
          <w:sz w:val="20"/>
          <w:lang w:val="en-CA" w:eastAsia="en-CA"/>
        </w:rPr>
        <mc:AlternateContent>
          <mc:Choice Requires="wpg">
            <w:drawing>
              <wp:anchor behindDoc="0" distT="0" distB="0" distL="114935" distR="114935" simplePos="0" locked="0" layoutInCell="1" allowOverlap="1" relativeHeight="2">
                <wp:simplePos x="0" y="0"/>
                <wp:positionH relativeFrom="column">
                  <wp:posOffset>914400</wp:posOffset>
                </wp:positionH>
                <wp:positionV relativeFrom="paragraph">
                  <wp:posOffset>107315</wp:posOffset>
                </wp:positionV>
                <wp:extent cx="4265295" cy="631190"/>
                <wp:effectExtent l="0" t="0" r="4445" b="0"/>
                <wp:wrapNone/>
                <wp:docPr id="1" name=""/>
                <a:graphic xmlns:a="http://schemas.openxmlformats.org/drawingml/2006/main">
                  <a:graphicData uri="http://schemas.microsoft.com/office/word/2010/wordprocessingGroup">
                    <wpg:wgp>
                      <wpg:cNvGrpSpPr/>
                      <wpg:grpSpPr>
                        <a:xfrm>
                          <a:off x="0" y="0"/>
                          <a:ext cx="4265280" cy="631080"/>
                          <a:chOff x="0" y="0"/>
                          <a:chExt cx="4265280" cy="631080"/>
                        </a:xfrm>
                      </wpg:grpSpPr>
                      <wps:wsp>
                        <wps:cNvPr id="2" name=""/>
                        <wps:cNvSpPr/>
                        <wps:spPr>
                          <a:xfrm>
                            <a:off x="9000" y="14040"/>
                            <a:ext cx="4256280" cy="560880"/>
                          </a:xfrm>
                          <a:prstGeom prst="rect">
                            <a:avLst/>
                          </a:prstGeom>
                          <a:noFill/>
                          <a:ln w="9360">
                            <a:solidFill>
                              <a:srgbClr val="000000"/>
                            </a:solidFill>
                            <a:miter/>
                          </a:ln>
                        </wps:spPr>
                        <wps:style>
                          <a:lnRef idx="0"/>
                          <a:fillRef idx="0"/>
                          <a:effectRef idx="0"/>
                          <a:fontRef idx="minor"/>
                        </wps:style>
                        <wps:bodyPr/>
                      </wps:wsp>
                      <wps:wsp>
                        <wps:cNvSpPr txBox="1"/>
                        <wps:spPr>
                          <a:xfrm>
                            <a:off x="0" y="13320"/>
                            <a:ext cx="1729800" cy="61776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Section 2.5.</w:t>
                              </w:r>
                            </w:p>
                            <w:p>
                              <w:pPr>
                                <w:overflowPunct w:val="false"/>
                                <w:autoSpaceDE w:val="false"/>
                                <w:bidi w:val="0"/>
                                <w:rPr/>
                              </w:pPr>
                              <w:r>
                                <w:rPr>
                                  <w:kern w:val="2"/>
                                  <w:sz w:val="24"/>
                                  <w:szCs w:val="24"/>
                                  <w:rFonts w:ascii="Times New Roman" w:hAnsi="Times New Roman" w:eastAsia="Times New Roman" w:cs="Times New Roman"/>
                                  <w:color w:val="000000"/>
                                  <w:lang w:val="en-US" w:bidi="ar-SA"/>
                                </w:rPr>
                                <w:t>Confirming Party</w:t>
                              </w:r>
                            </w:p>
                            <w:p>
                              <w:pPr>
                                <w:overflowPunct w:val="false"/>
                                <w:autoSpaceDE w:val="false"/>
                                <w:bidi w:val="0"/>
                                <w:rPr/>
                              </w:pPr>
                              <w:r>
                                <w:rPr>
                                  <w:kern w:val="2"/>
                                  <w:rFonts w:cs="NotoSans NF" w:eastAsia="Liberation Sans" w:ascii="Liberation Serif" w:hAnsi="Liberation Serif"/>
                                  <w:lang w:bidi="hi-IN" w:val="en-CA"/>
                                </w:rPr>
                              </w:r>
                            </w:p>
                          </w:txbxContent>
                        </wps:txbx>
                        <wps:bodyPr wrap="square" anchor="t">
                          <a:noAutofit/>
                        </wps:bodyPr>
                      </wps:wsp>
                      <wps:wsp>
                        <wps:cNvPr id="3" name=""/>
                        <wps:cNvSpPr/>
                        <wps:spPr>
                          <a:xfrm>
                            <a:off x="1980720" y="65880"/>
                            <a:ext cx="126360" cy="113760"/>
                          </a:xfrm>
                          <a:prstGeom prst="rect">
                            <a:avLst/>
                          </a:prstGeom>
                          <a:noFill/>
                          <a:ln w="9360">
                            <a:solidFill>
                              <a:srgbClr val="000000"/>
                            </a:solidFill>
                            <a:miter/>
                          </a:ln>
                        </wps:spPr>
                        <wps:style>
                          <a:lnRef idx="0"/>
                          <a:fillRef idx="0"/>
                          <a:effectRef idx="0"/>
                          <a:fontRef idx="minor"/>
                        </wps:style>
                        <wps:bodyPr/>
                      </wps:wsp>
                      <wps:wsp>
                        <wps:cNvPr id="4" name=""/>
                        <wps:cNvSpPr/>
                        <wps:spPr>
                          <a:xfrm>
                            <a:off x="1986840" y="237600"/>
                            <a:ext cx="126360" cy="113760"/>
                          </a:xfrm>
                          <a:prstGeom prst="rect">
                            <a:avLst/>
                          </a:prstGeom>
                          <a:noFill/>
                          <a:ln w="9360">
                            <a:solidFill>
                              <a:srgbClr val="000000"/>
                            </a:solidFill>
                            <a:miter/>
                          </a:ln>
                        </wps:spPr>
                        <wps:style>
                          <a:lnRef idx="0"/>
                          <a:fillRef idx="0"/>
                          <a:effectRef idx="0"/>
                          <a:fontRef idx="minor"/>
                        </wps:style>
                        <wps:bodyPr/>
                      </wps:wsp>
                      <wps:wsp>
                        <wps:cNvPr id="5" name=""/>
                        <wps:cNvSpPr/>
                        <wps:spPr>
                          <a:xfrm>
                            <a:off x="1986840" y="402120"/>
                            <a:ext cx="126360" cy="113760"/>
                          </a:xfrm>
                          <a:prstGeom prst="rect">
                            <a:avLst/>
                          </a:prstGeom>
                          <a:noFill/>
                          <a:ln w="9360">
                            <a:solidFill>
                              <a:srgbClr val="000000"/>
                            </a:solidFill>
                            <a:miter/>
                          </a:ln>
                        </wps:spPr>
                        <wps:style>
                          <a:lnRef idx="0"/>
                          <a:fillRef idx="0"/>
                          <a:effectRef idx="0"/>
                          <a:fontRef idx="minor"/>
                        </wps:style>
                        <wps:bodyPr/>
                      </wps:wsp>
                      <wps:wsp>
                        <wps:cNvSpPr txBox="1"/>
                        <wps:spPr>
                          <a:xfrm>
                            <a:off x="1919520" y="342360"/>
                            <a:ext cx="372600" cy="253440"/>
                          </a:xfrm>
                          <a:prstGeom prst="rect">
                            <a:avLst/>
                          </a:prstGeom>
                          <a:noFill/>
                          <a:ln w="0">
                            <a:noFill/>
                          </a:ln>
                        </wps:spPr>
                        <wps:txbx>
                          <w:txbxContent>
                            <w:p>
                              <w:pPr>
                                <w:overflowPunct w:val="false"/>
                                <w:autoSpaceDE w:val="false"/>
                                <w:bidi w:val="0"/>
                                <w:rPr/>
                              </w:pPr>
                              <w:r>
                                <w:rPr>
                                  <w:kern w:val="2"/>
                                  <w:sz w:val="24"/>
                                  <w:szCs w:val="24"/>
                                  <w:rFonts w:ascii="Wingdings" w:hAnsi="Wingdings" w:eastAsia="Wingdings" w:cs="Wingdings"/>
                                  <w:color w:val="000000"/>
                                  <w:lang w:val="en-US" w:bidi="ar-SA"/>
                                </w:rPr>
                                <w:t></w:t>
                              </w:r>
                            </w:p>
                          </w:txbxContent>
                        </wps:txbx>
                        <wps:bodyPr wrap="square" anchor="t">
                          <a:noAutofit/>
                        </wps:bodyPr>
                      </wps:wsp>
                      <wps:wsp>
                        <wps:cNvSpPr txBox="1"/>
                        <wps:spPr>
                          <a:xfrm>
                            <a:off x="2173680" y="0"/>
                            <a:ext cx="171396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Seller</w:t>
                              </w:r>
                            </w:p>
                          </w:txbxContent>
                        </wps:txbx>
                        <wps:bodyPr wrap="square" anchor="t">
                          <a:noAutofit/>
                        </wps:bodyPr>
                      </wps:wsp>
                      <wps:wsp>
                        <wps:cNvSpPr txBox="1"/>
                        <wps:spPr>
                          <a:xfrm>
                            <a:off x="2173680" y="177120"/>
                            <a:ext cx="166932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Buyer</w:t>
                              </w:r>
                            </w:p>
                          </w:txbxContent>
                        </wps:txbx>
                        <wps:bodyPr wrap="square" anchor="t">
                          <a:noAutofit/>
                        </wps:bodyPr>
                      </wps:wsp>
                      <wps:wsp>
                        <wps:cNvSpPr txBox="1"/>
                        <wps:spPr>
                          <a:xfrm>
                            <a:off x="2173680" y="342360"/>
                            <a:ext cx="2005920" cy="26748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North America Corp.</w:t>
                              </w:r>
                            </w:p>
                          </w:txbxContent>
                        </wps:txbx>
                        <wps:bodyPr wrap="square" anchor="t">
                          <a:noAutofit/>
                        </wps:bodyPr>
                      </wps:wsp>
                    </wpg:wgp>
                  </a:graphicData>
                </a:graphic>
              </wp:anchor>
            </w:drawing>
          </mc:Choice>
          <mc:Fallback>
            <w:pict>
              <v:group id="shape_0" style="position:absolute;margin-left:72pt;margin-top:8.45pt;width:335.85pt;height:49.7pt" coordorigin="1440,169" coordsize="6717,994">
                <v:rect id="shape_0" stroked="t" o:allowincell="f" style="position:absolute;left:1454;top:191;width:6702;height:882;mso-wrap-style:none;v-text-anchor:middle">
                  <v:fill o:detectmouseclick="t" on="false"/>
                  <v:stroke color="black" weight="9360" joinstyle="miter" endcap="flat"/>
                  <w10:wrap type="none"/>
                </v:rect>
                <v:shapetype id="_x0000_t202" coordsize="21600,21600" o:spt="202" path="m,l,21600l21600,21600l21600,xe">
                  <v:stroke joinstyle="miter"/>
                  <v:path gradientshapeok="t" o:connecttype="rect"/>
                </v:shapetype>
                <v:shape id="shape_0" stroked="f" o:allowincell="f" style="position:absolute;left:1440;top:190;width:2723;height:972;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Section 2.5.</w:t>
                        </w:r>
                      </w:p>
                      <w:p>
                        <w:pPr>
                          <w:overflowPunct w:val="false"/>
                          <w:autoSpaceDE w:val="false"/>
                          <w:bidi w:val="0"/>
                          <w:rPr/>
                        </w:pPr>
                        <w:r>
                          <w:rPr>
                            <w:kern w:val="2"/>
                            <w:sz w:val="24"/>
                            <w:szCs w:val="24"/>
                            <w:rFonts w:ascii="Times New Roman" w:hAnsi="Times New Roman" w:eastAsia="Times New Roman" w:cs="Times New Roman"/>
                            <w:color w:val="000000"/>
                            <w:lang w:val="en-US" w:bidi="ar-SA"/>
                          </w:rPr>
                          <w:t>Confirming Party</w:t>
                        </w:r>
                      </w:p>
                      <w:p>
                        <w:pPr>
                          <w:overflowPunct w:val="false"/>
                          <w:autoSpaceDE w:val="false"/>
                          <w:bidi w:val="0"/>
                          <w:rPr/>
                        </w:pPr>
                        <w:r>
                          <w:rPr>
                            <w:kern w:val="2"/>
                            <w:rFonts w:cs="NotoSans NF" w:eastAsia="Liberation Sans" w:ascii="Liberation Serif" w:hAnsi="Liberation Serif"/>
                            <w:lang w:bidi="hi-IN" w:val="en-CA"/>
                          </w:rPr>
                        </w:r>
                      </w:p>
                    </w:txbxContent>
                  </v:textbox>
                  <v:fill o:detectmouseclick="t" on="false"/>
                  <v:stroke color="#3465a4" joinstyle="round" endcap="flat"/>
                  <w10:wrap type="none"/>
                </v:shape>
                <v:rect id="shape_0" stroked="t" o:allowincell="f" style="position:absolute;left:4559;top:273;width:198;height:178;mso-wrap-style:none;v-text-anchor:middle">
                  <v:fill o:detectmouseclick="t" on="false"/>
                  <v:stroke color="black" weight="9360" joinstyle="miter" endcap="flat"/>
                  <w10:wrap type="none"/>
                </v:rect>
                <v:rect id="shape_0" stroked="t" o:allowincell="f" style="position:absolute;left:4569;top:543;width:198;height:178;mso-wrap-style:none;v-text-anchor:middle">
                  <v:fill o:detectmouseclick="t" on="false"/>
                  <v:stroke color="black" weight="9360" joinstyle="miter" endcap="flat"/>
                  <w10:wrap type="none"/>
                </v:rect>
                <v:rect id="shape_0" stroked="t" o:allowincell="f" style="position:absolute;left:4569;top:802;width:198;height:178;mso-wrap-style:none;v-text-anchor:middle">
                  <v:fill o:detectmouseclick="t" on="false"/>
                  <v:stroke color="black" weight="9360" joinstyle="miter" endcap="flat"/>
                  <w10:wrap type="none"/>
                </v:rect>
                <v:shape id="shape_0" stroked="f" o:allowincell="f" style="position:absolute;left:4463;top:708;width:586;height:398;mso-wrap-style:square;v-text-anchor:top" type="_x0000_t202">
                  <v:textbox>
                    <w:txbxContent>
                      <w:p>
                        <w:pPr>
                          <w:overflowPunct w:val="false"/>
                          <w:autoSpaceDE w:val="false"/>
                          <w:bidi w:val="0"/>
                          <w:rPr/>
                        </w:pPr>
                        <w:r>
                          <w:rPr>
                            <w:kern w:val="2"/>
                            <w:sz w:val="24"/>
                            <w:szCs w:val="24"/>
                            <w:rFonts w:ascii="Wingdings" w:hAnsi="Wingdings" w:eastAsia="Wingdings" w:cs="Wingdings"/>
                            <w:color w:val="000000"/>
                            <w:lang w:val="en-US" w:bidi="ar-SA"/>
                          </w:rPr>
                          <w:t></w:t>
                        </w:r>
                      </w:p>
                    </w:txbxContent>
                  </v:textbox>
                  <v:fill o:detectmouseclick="t" on="false"/>
                  <v:stroke color="#3465a4" joinstyle="round" endcap="flat"/>
                  <w10:wrap type="none"/>
                </v:shape>
                <v:shape id="shape_0" stroked="f" o:allowincell="f" style="position:absolute;left:4863;top:169;width:269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Seller</w:t>
                        </w:r>
                      </w:p>
                    </w:txbxContent>
                  </v:textbox>
                  <v:fill o:detectmouseclick="t" on="false"/>
                  <v:stroke color="#3465a4" joinstyle="round" endcap="flat"/>
                  <w10:wrap type="none"/>
                </v:shape>
                <v:shape id="shape_0" stroked="f" o:allowincell="f" style="position:absolute;left:4863;top:448;width:262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Buyer</w:t>
                        </w:r>
                      </w:p>
                    </w:txbxContent>
                  </v:textbox>
                  <v:fill o:detectmouseclick="t" on="false"/>
                  <v:stroke color="#3465a4" joinstyle="round" endcap="flat"/>
                  <w10:wrap type="none"/>
                </v:shape>
                <v:shape id="shape_0" stroked="f" o:allowincell="f" style="position:absolute;left:4863;top:708;width:3158;height:420;mso-wrap-style:square;v-text-anchor:top"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Enron North America Corp.</w:t>
                        </w:r>
                      </w:p>
                    </w:txbxContent>
                  </v:textbox>
                  <v:fill o:detectmouseclick="t" on="false"/>
                  <v:stroke color="#3465a4" joinstyle="round" endcap="flat"/>
                  <w10:wrap type="none"/>
                </v:shape>
              </v:group>
            </w:pict>
          </mc:Fallback>
        </mc:AlternateContent>
      </w:r>
    </w:p>
    <w:p>
      <w:pPr>
        <w:pStyle w:val="Normal"/>
        <w:rPr/>
      </w:pPr>
      <w:r>
        <w:rPr/>
      </w:r>
    </w:p>
    <w:p>
      <w:pPr>
        <w:pStyle w:val="Normal"/>
        <w:rPr/>
      </w:pPr>
      <w:r>
        <w:rPr/>
      </w:r>
    </w:p>
    <w:p>
      <w:pPr>
        <w:pStyle w:val="Normal"/>
        <w:rPr/>
      </w:pPr>
      <w:r>
        <w:rPr/>
      </w:r>
    </w:p>
    <w:p>
      <w:pPr>
        <w:pStyle w:val="Normal"/>
        <w:rPr/>
      </w:pPr>
      <w:r>
        <w:rPr/>
      </w:r>
    </w:p>
    <w:p>
      <w:pPr>
        <w:pStyle w:val="Normal"/>
        <w:jc w:val="both"/>
        <w:rPr/>
      </w:pPr>
      <w:r>
        <w:rPr/>
        <w:tab/>
        <w:t>IN WITNESS WHEREOF, Company and Customer, by their respective authorized representatives, have executed this Amendment effective as of the date first written above:</w:t>
      </w:r>
    </w:p>
    <w:p>
      <w:pPr>
        <w:pStyle w:val="Header"/>
        <w:tabs>
          <w:tab w:val="clear" w:pos="4320"/>
          <w:tab w:val="clear" w:pos="8640"/>
        </w:tabs>
        <w:rPr/>
      </w:pPr>
      <w:r>
        <w:rPr/>
      </w:r>
    </w:p>
    <w:p>
      <w:pPr>
        <w:pStyle w:val="Normal"/>
        <w:ind w:hanging="5040" w:start="5760" w:end="0"/>
        <w:rPr/>
      </w:pPr>
      <w:r>
        <w:rPr/>
        <w:t>ENRON NORTH AMERICA CORP.</w:t>
        <w:tab/>
        <w:t xml:space="preserve">KINDER MORGAN TEXAS </w:t>
      </w:r>
    </w:p>
    <w:p>
      <w:pPr>
        <w:pStyle w:val="Normal"/>
        <w:ind w:firstLine="720" w:start="5040" w:end="0"/>
        <w:rPr/>
      </w:pPr>
      <w:r>
        <w:rPr/>
        <w:t>PIPELINE, L.P.</w:t>
      </w:r>
    </w:p>
    <w:p>
      <w:pPr>
        <w:pStyle w:val="Normal"/>
        <w:ind w:hanging="5040" w:start="5760" w:end="0"/>
        <w:rPr/>
      </w:pPr>
      <w:r>
        <w:rPr/>
      </w:r>
    </w:p>
    <w:p>
      <w:pPr>
        <w:pStyle w:val="Normal"/>
        <w:spacing w:lineRule="auto" w:line="360"/>
        <w:rPr/>
      </w:pPr>
      <w:r>
        <w:rPr/>
        <w:tab/>
        <w:t>By: __________________________</w:t>
        <w:tab/>
        <w:tab/>
        <w:tab/>
        <w:t>By: __________________________</w:t>
      </w:r>
    </w:p>
    <w:p>
      <w:pPr>
        <w:pStyle w:val="Normal"/>
        <w:spacing w:lineRule="auto" w:line="360"/>
        <w:rPr/>
      </w:pPr>
      <w:r>
        <w:rPr/>
        <w:tab/>
        <w:t>Name: _______________________</w:t>
        <w:tab/>
        <w:tab/>
        <w:tab/>
        <w:t>Name: _______________________</w:t>
      </w:r>
    </w:p>
    <w:p>
      <w:pPr>
        <w:pStyle w:val="Normal"/>
        <w:spacing w:lineRule="auto" w:line="360"/>
        <w:rPr/>
      </w:pPr>
      <w:r>
        <w:rPr/>
        <w:tab/>
        <w:t>Title: ________________________</w:t>
        <w:tab/>
        <w:tab/>
        <w:tab/>
        <w:t>Title: ________________________</w:t>
      </w:r>
    </w:p>
    <w:p>
      <w:pPr>
        <w:pStyle w:val="Normal"/>
        <w:spacing w:lineRule="auto" w:line="360"/>
        <w:rPr>
          <w:sz w:val="16"/>
        </w:rPr>
      </w:pPr>
      <w:r>
        <w:rPr>
          <w:sz w:val="16"/>
        </w:rPr>
      </w:r>
    </w:p>
    <w:p>
      <w:pPr>
        <w:pStyle w:val="Normal"/>
        <w:spacing w:lineRule="auto" w:line="360"/>
        <w:rPr>
          <w:sz w:val="16"/>
        </w:rPr>
      </w:pPr>
      <w:r>
        <w:rPr>
          <w:sz w:val="16"/>
        </w:rPr>
        <w:fldChar w:fldCharType="begin"/>
      </w:r>
      <w:r>
        <w:rPr>
          <w:sz w:val="16"/>
        </w:rPr>
        <w:instrText xml:space="preserve"> FILENAME \p </w:instrText>
      </w:r>
      <w:r>
        <w:rPr>
          <w:sz w:val="16"/>
        </w:rPr>
        <w:fldChar w:fldCharType="separate"/>
      </w:r>
      <w:r>
        <w:rPr>
          <w:sz w:val="16"/>
        </w:rPr>
        <w:t>/mnt/main-storage/datasets/enron-docs/doc/Amendment_to_Kinder.doc</w:t>
      </w:r>
      <w:r>
        <w:rPr>
          <w:sz w:val="16"/>
        </w:rPr>
        <w:fldChar w:fldCharType="end"/>
      </w:r>
    </w:p>
    <w:p>
      <w:pPr>
        <w:pStyle w:val="Normal"/>
        <w:spacing w:lineRule="auto" w:line="360"/>
        <w:rPr>
          <w:sz w:val="16"/>
        </w:rPr>
      </w:pPr>
      <w:r>
        <w:rPr>
          <w:sz w:val="16"/>
        </w:rPr>
      </w:r>
    </w:p>
    <w:sectPr>
      <w:footerReference w:type="default" r:id="rId2"/>
      <w:type w:val="nextPage"/>
      <w:pgSz w:w="12240" w:h="15840"/>
      <w:pgMar w:left="1440" w:right="1260" w:gutter="0" w:header="0" w:top="108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2001-08-01T12:45:00Z</dcterms:created>
  <dc:creator>protmp2</dc:creator>
  <dc:description/>
  <dc:language>en-CA</dc:language>
  <cp:lastModifiedBy>dperlin</cp:lastModifiedBy>
  <cp:lastPrinted>2001-08-01T10:17:00Z</cp:lastPrinted>
  <dcterms:modified xsi:type="dcterms:W3CDTF">2001-08-01T12:49:00Z</dcterms:modified>
  <cp:revision>3</cp:revision>
  <dc:subject/>
  <dc:title>AGREEMENT TO BASE CONTRACT FOR SHORT-TERM SALE</dc:title>
</cp:coreProperties>
</file>