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AMENDMENT TO ISDA MASTER AGREEMENT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THIS AMENDMENT is made this ___ day of ______________, 2001 by and between Alcoa Inc., a Pennsylvania corporation (“Alcoa”) and Enron Capital &amp; Trade Resources Corp.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WHEREAS, the parties entered into a ISDA Master Agreement dated 1/14/99 ("Agreement"); and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WHEREAS, the parties desire to make the following amendment to the Agreement.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NOW THEREFORE, the parties agree that the Agreement will be amended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Part 1 "Threshold Amount" shall be deleted in its entirety and replaced with the following: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"Threshold Amount" means: with respect to Party A and Party B, it shall be that amount which corresponds to the current credit rating of the applicable party, as indicated in the attached Credit Annex, paragraph 13."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In all other respects, the Agreement remains in force and effect.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IN WITNESS WHEREOF, the parties hereto have caused this amendment to be signed by their duly authorized representatives as of the date and year first above written.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Alcoa Inc.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Capital &amp; Trade Resources Corp.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2001-07-11T11:22:00Z</dcterms:created>
  <dc:creator>duderjf-ws</dc:creator>
  <dc:description/>
  <dc:language>en-CA</dc:language>
  <cp:lastModifiedBy>ibrungs</cp:lastModifiedBy>
  <dcterms:modified xsi:type="dcterms:W3CDTF">2001-07-11T11:22:00Z</dcterms:modified>
  <cp:revision>2</cp:revision>
  <dc:subject/>
  <dc:title>SECOND AMENDMENT TO CREDIT AGREEMENT</dc:title>
</cp:coreProperties>
</file>