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VETitleBoldCenter"/>
        <w:spacing w:before="0" w:after="0"/>
        <w:rPr/>
      </w:pPr>
      <w:r>
        <w:rPr/>
        <w:t>AMENDMENT NO. 1</w:t>
      </w:r>
    </w:p>
    <w:p>
      <w:pPr>
        <w:pStyle w:val="VESubTitle"/>
        <w:spacing w:before="0" w:after="0"/>
        <w:rPr/>
      </w:pPr>
      <w:r>
        <w:rPr/>
        <w:t>TO</w:t>
      </w:r>
    </w:p>
    <w:p>
      <w:pPr>
        <w:pStyle w:val="VESubTitle"/>
        <w:rPr/>
      </w:pPr>
      <w:r>
        <w:rPr/>
        <w:t>RECEIVABLES PURCHASE AGREEMENT</w:t>
      </w:r>
    </w:p>
    <w:p>
      <w:pPr>
        <w:pStyle w:val="VEBodyText"/>
        <w:rPr/>
      </w:pPr>
      <w:r>
        <w:rPr/>
      </w:r>
    </w:p>
    <w:p>
      <w:pPr>
        <w:pStyle w:val="VEBodyTextFLI"/>
        <w:ind w:end="0"/>
        <w:rPr/>
      </w:pPr>
      <w:r>
        <w:rPr/>
        <w:t>This AMENDMENT NO. 1 TO RECEIVABLES PURCHASE AGREEMENT dated as of October ___, 2001 (this “</w:t>
      </w:r>
      <w:r>
        <w:rPr>
          <w:rStyle w:val="VEBoldUnderline"/>
          <w:b w:val="false"/>
          <w:bCs/>
        </w:rPr>
        <w:t>Amendment No. 1</w:t>
      </w:r>
      <w:r>
        <w:rPr>
          <w:rStyle w:val="VEBoldUnderline"/>
          <w:b w:val="false"/>
          <w:bCs/>
          <w:u w:val="none"/>
        </w:rPr>
        <w:t xml:space="preserve">”) is made and entered into by and among </w:t>
      </w:r>
      <w:r>
        <w:rPr/>
        <w:t>SWEE’P, L.L.C., a Delaware limited liability company, as Seller (the “</w:t>
      </w:r>
      <w:r>
        <w:rPr>
          <w:u w:val="single"/>
        </w:rPr>
        <w:t>Seller</w:t>
      </w:r>
      <w:r>
        <w:rPr/>
        <w:t>”), ENRON NORTH AMERICA CORP.,  a Delaware corporation (“</w:t>
      </w:r>
      <w:r>
        <w:rPr>
          <w:u w:val="single"/>
        </w:rPr>
        <w:t>ENA</w:t>
      </w:r>
      <w:r>
        <w:rPr/>
        <w:t>”) (Enron North America Corp., acting in its capacity as the collection agent hereunder, the “</w:t>
      </w:r>
      <w:r>
        <w:rPr>
          <w:u w:val="single"/>
        </w:rPr>
        <w:t>Collection Agent</w:t>
      </w:r>
      <w:r>
        <w:rPr/>
        <w:t>”), ASSET SECURITIZATION COOPERATIVE CORPORATION, as Conduit Purchaser (the “</w:t>
      </w:r>
      <w:r>
        <w:rPr>
          <w:u w:val="single"/>
        </w:rPr>
        <w:t>Conduit Purchaser</w:t>
      </w:r>
      <w:r>
        <w:rPr/>
        <w:t>”), the financial institutions from time to time party hereto, as Committed Purchasers (the “</w:t>
      </w:r>
      <w:r>
        <w:rPr>
          <w:u w:val="single"/>
        </w:rPr>
        <w:t>Committed Purchasers</w:t>
      </w:r>
      <w:r>
        <w:rPr/>
        <w:t>”) and CANADIAN IMPERIAL BANK OF COMMERCE, a Canadian chartered bank acting through its New York Agency (“</w:t>
      </w:r>
      <w:r>
        <w:rPr>
          <w:u w:val="single"/>
        </w:rPr>
        <w:t>CIBC</w:t>
      </w:r>
      <w:r>
        <w:rPr/>
        <w:t>”), as administrative agent hereunder (the “</w:t>
      </w:r>
      <w:r>
        <w:rPr>
          <w:u w:val="single"/>
        </w:rPr>
        <w:t>Administrative Agent</w:t>
      </w:r>
      <w:r>
        <w:rPr/>
        <w:t xml:space="preserve">”).  Unless otherwise defined herein, capitalized terms used in this Amendment shall have the meanings assigned to such terms in the Receivables Purchase Agreement (as such term is defined below).  </w:t>
      </w:r>
    </w:p>
    <w:p>
      <w:pPr>
        <w:pStyle w:val="VEBodyTextFLI"/>
        <w:ind w:end="0"/>
        <w:rPr/>
      </w:pPr>
      <w:r>
        <w:rPr>
          <w:rStyle w:val="VEBoldUnderline"/>
          <w:b w:val="false"/>
          <w:bCs/>
          <w:u w:val="none"/>
        </w:rPr>
        <w:t>PRELIMINARY STATEMENTS.</w:t>
      </w:r>
    </w:p>
    <w:p>
      <w:pPr>
        <w:pStyle w:val="VEBodyTextFLI"/>
        <w:ind w:end="0"/>
        <w:rPr>
          <w:rStyle w:val="VEUnderline"/>
        </w:rPr>
      </w:pPr>
      <w:r>
        <w:rPr>
          <w:rStyle w:val="VEBoldUnderline"/>
          <w:b w:val="false"/>
          <w:bCs/>
          <w:u w:val="none"/>
        </w:rPr>
        <w:t xml:space="preserve">(1)  The Seller, the Collection Agent, the Conduit Purchaser, the Committed Purchasers and the Administrative Agent are parties to that certain Receivables Purchase Agreement dated as of September 28, 2001 (the </w:t>
      </w:r>
      <w:r>
        <w:rPr>
          <w:rStyle w:val="VEUnderline"/>
          <w:u w:val="none"/>
        </w:rPr>
        <w:t>“</w:t>
      </w:r>
      <w:r>
        <w:rPr>
          <w:rStyle w:val="VEUnderline"/>
        </w:rPr>
        <w:t>Receivables Purchase Agreement</w:t>
      </w:r>
      <w:r>
        <w:rPr>
          <w:rStyle w:val="VEUnderline"/>
          <w:u w:val="none"/>
        </w:rPr>
        <w:t xml:space="preserve">”); </w:t>
      </w:r>
    </w:p>
    <w:p>
      <w:pPr>
        <w:pStyle w:val="VEBodyTextFLI"/>
        <w:ind w:end="0"/>
        <w:rPr/>
      </w:pPr>
      <w:r>
        <w:rPr>
          <w:rStyle w:val="VEUnderline"/>
          <w:u w:val="none"/>
        </w:rPr>
        <w:t xml:space="preserve">(2)  </w:t>
      </w:r>
      <w:r>
        <w:rPr>
          <w:rStyle w:val="VEBoldUnderline"/>
          <w:b w:val="false"/>
          <w:bCs/>
          <w:u w:val="none"/>
        </w:rPr>
        <w:t>The Seller, the Collection Agent, the Conduit Purchaser, the Committed Purchasers and the Administrative Agent desire to amend the Receivables Purchase Agreement as hereafter provided; and</w:t>
      </w:r>
    </w:p>
    <w:p>
      <w:pPr>
        <w:pStyle w:val="VEBodyTextFLI"/>
        <w:ind w:end="0"/>
        <w:rPr/>
      </w:pPr>
      <w:r>
        <w:rPr>
          <w:rStyle w:val="VEBoldUnderline"/>
          <w:b w:val="false"/>
          <w:bCs/>
          <w:u w:val="none"/>
        </w:rPr>
        <w:t>(3)  The parties to the Transfer Agreement have approved this Amendment No. 1;</w:t>
      </w:r>
    </w:p>
    <w:p>
      <w:pPr>
        <w:pStyle w:val="VEBodyTextFLI"/>
        <w:ind w:end="0"/>
        <w:rPr/>
      </w:pPr>
      <w:r>
        <w:rPr>
          <w:rStyle w:val="VEBoldUnderline"/>
          <w:b w:val="false"/>
          <w:bCs/>
          <w:u w:val="none"/>
        </w:rPr>
        <w:t>NOW, THEREFORE, the parties agree as follows:</w:t>
      </w:r>
    </w:p>
    <w:p>
      <w:pPr>
        <w:pStyle w:val="VEBodyTextFLI"/>
        <w:ind w:end="0"/>
        <w:rPr/>
      </w:pPr>
      <w:r>
        <w:rPr>
          <w:rStyle w:val="VEBoldUnderline"/>
          <w:b w:val="false"/>
          <w:bCs/>
          <w:u w:val="none"/>
        </w:rPr>
        <w:t xml:space="preserve">SECTION 1.  </w:t>
      </w:r>
      <w:r>
        <w:rPr>
          <w:rStyle w:val="VEUnderline"/>
        </w:rPr>
        <w:t>Amendments to Agreement.</w:t>
      </w:r>
      <w:r>
        <w:rPr>
          <w:rStyle w:val="VEUnderline"/>
          <w:u w:val="none"/>
        </w:rPr>
        <w:t xml:space="preserve">  Upon the effectiveness of this Amendment No. 1 as set forth in Section 3 hereof, the Receivables Purchase Agreement is amended as follows:</w:t>
      </w:r>
    </w:p>
    <w:p>
      <w:pPr>
        <w:pStyle w:val="VEBodyTextFLI"/>
        <w:ind w:end="0"/>
        <w:rPr/>
      </w:pPr>
      <w:r>
        <w:rPr>
          <w:rStyle w:val="VEUnderline"/>
          <w:u w:val="none"/>
        </w:rPr>
        <w:t>1.01  The defined term “</w:t>
      </w:r>
      <w:r>
        <w:rPr>
          <w:rStyle w:val="VEUnderline"/>
        </w:rPr>
        <w:t>Receivable</w:t>
      </w:r>
      <w:r>
        <w:rPr>
          <w:rStyle w:val="VEUnderline"/>
          <w:u w:val="none"/>
        </w:rPr>
        <w:t>” contained in Section 1.1 of the Agreement is hereby deleted in its entirety and the following substituted therefor:</w:t>
      </w:r>
    </w:p>
    <w:p>
      <w:pPr>
        <w:pStyle w:val="VEBodyTextFLI"/>
        <w:ind w:end="0"/>
        <w:rPr/>
      </w:pPr>
      <w:r>
        <w:rPr>
          <w:rStyle w:val="VEUnderline"/>
          <w:u w:val="none"/>
        </w:rPr>
        <w:t>“</w:t>
      </w:r>
      <w:r>
        <w:rPr>
          <w:rStyle w:val="VEBoldUnderlineItalic"/>
        </w:rPr>
        <w:t>Receivable</w:t>
      </w:r>
      <w:r>
        <w:rPr>
          <w:rStyle w:val="VEBoldUnderlineItalic"/>
          <w:b w:val="false"/>
          <w:bCs/>
          <w:i w:val="false"/>
          <w:iCs/>
          <w:u w:val="none"/>
        </w:rPr>
        <w:t>”</w:t>
      </w:r>
      <w:r>
        <w:rPr>
          <w:rStyle w:val="VEUnderline"/>
          <w:u w:val="none"/>
        </w:rPr>
        <w:t xml:space="preserve"> means the obligation of an Obligor (other than Affiliates or subsidiaries of the Originator) to pay for natural gas or natural gas related products sold and physically delivered by the Originator, including all rights of payment to any interest or finance charges and any other rights to payment under the Contract relating to such Receivable; </w:t>
      </w:r>
      <w:r>
        <w:rPr>
          <w:rStyle w:val="VEUnderline"/>
        </w:rPr>
        <w:t>provided</w:t>
      </w:r>
      <w:r>
        <w:rPr>
          <w:rStyle w:val="VEUnderline"/>
          <w:u w:val="none"/>
        </w:rPr>
        <w:t xml:space="preserve">, </w:t>
      </w:r>
      <w:r>
        <w:rPr>
          <w:rStyle w:val="VEUnderline"/>
        </w:rPr>
        <w:t>however</w:t>
      </w:r>
      <w:r>
        <w:rPr>
          <w:rStyle w:val="VEUnderline"/>
          <w:u w:val="none"/>
        </w:rPr>
        <w:t>, (a) from and after November 25, 2001, Gas Payables owed by PG&amp;E to ENA, to the extent that prior to November 25, 2001, such Gas Payables have not been transferred by ENA to the Seller pursuant to the Transfer Agreement, shall no longer constitute Receivables, and (b) if after November 25, 2001, ENA enters into a Master Netting Agreement with any Person (i) if such Person is not an Obligor at the time ENA and such Person enter into such Master Netting Agreement, then Gas Payables of such Person shall never constitute Receivables and such Person shall never constitute an Obligor, and (ii) if such Person is an Obligor at the time ENA and such Person enter into such Master Netting Agreement, then from and after the Transfer Date immediately succeeding the effective date of such Master Netting Agreement, Gas Payables of such Person to the extent not transferred by ENA to the Seller prior to such Transfer Date, shall not constitute Receivables.</w:t>
      </w:r>
    </w:p>
    <w:p>
      <w:pPr>
        <w:pStyle w:val="VEBodyTextFLI"/>
        <w:ind w:end="0"/>
        <w:rPr/>
      </w:pPr>
      <w:r>
        <w:rPr>
          <w:rStyle w:val="VEUnderline"/>
          <w:u w:val="none"/>
        </w:rPr>
        <w:t>1.02  Section 1.1 of the Agreement is hereby amended to add the following defined terms thereto in the appropriate alphabetical order.</w:t>
      </w:r>
    </w:p>
    <w:p>
      <w:pPr>
        <w:pStyle w:val="VEBodyTextFLI"/>
        <w:ind w:end="0"/>
        <w:rPr/>
      </w:pPr>
      <w:r>
        <w:rPr>
          <w:rStyle w:val="VEUnderline"/>
          <w:u w:val="none"/>
        </w:rPr>
        <w:t>“</w:t>
      </w:r>
      <w:r>
        <w:rPr>
          <w:rStyle w:val="VEBoldUnderlineItalic"/>
        </w:rPr>
        <w:t>Gas</w:t>
      </w:r>
      <w:r>
        <w:rPr>
          <w:rStyle w:val="VEUnderline"/>
        </w:rPr>
        <w:t xml:space="preserve"> </w:t>
      </w:r>
      <w:r>
        <w:rPr>
          <w:rStyle w:val="VEBoldUnderlineItalic"/>
        </w:rPr>
        <w:t>Payable</w:t>
      </w:r>
      <w:r>
        <w:rPr>
          <w:rStyle w:val="VEUnderline"/>
          <w:u w:val="none"/>
        </w:rPr>
        <w:t>” means the obligation of any Person (other than Affiliates or subsidiaries of ENA) to pay for natural gas or natural gas related products sold and physically delivered by ENA, including all rights to payment of any interest or finance charges and any other rights to payment under the contract relating to such obligation.</w:t>
      </w:r>
    </w:p>
    <w:p>
      <w:pPr>
        <w:pStyle w:val="VEBodyTextFLI"/>
        <w:ind w:end="0"/>
        <w:rPr/>
      </w:pPr>
      <w:r>
        <w:rPr>
          <w:rStyle w:val="VEUnderline"/>
          <w:u w:val="none"/>
        </w:rPr>
        <w:t>“</w:t>
      </w:r>
      <w:r>
        <w:rPr>
          <w:rStyle w:val="VEBoldUnderlineItalic"/>
        </w:rPr>
        <w:t>Master</w:t>
      </w:r>
      <w:r>
        <w:rPr>
          <w:rStyle w:val="VEUnderline"/>
        </w:rPr>
        <w:t xml:space="preserve"> </w:t>
      </w:r>
      <w:r>
        <w:rPr>
          <w:rStyle w:val="VEBoldUnderlineItalic"/>
        </w:rPr>
        <w:t>Netting</w:t>
      </w:r>
      <w:r>
        <w:rPr>
          <w:rStyle w:val="VEUnderline"/>
        </w:rPr>
        <w:t xml:space="preserve"> </w:t>
      </w:r>
      <w:r>
        <w:rPr>
          <w:rStyle w:val="VEBoldUnderlineItalic"/>
        </w:rPr>
        <w:t>Agreement</w:t>
      </w:r>
      <w:r>
        <w:rPr>
          <w:rStyle w:val="VEUnderline"/>
          <w:u w:val="none"/>
        </w:rPr>
        <w:t>” means a contract between ENA and a Person which (a) would allow such Person to net any amounts owed to any Affiliate of such Person by ENA, or which would allow such Person to net any amount owed to such Person or to an Affiliate of such Person by an Affiliate of ENA, in each case  against amounts owed by such Person to ENA for Gas Payables owed by such Person to ENA, and/or (b) could provide for the creation of an adverse claim on future Gas Payables owed by such Person to ENA.</w:t>
      </w:r>
    </w:p>
    <w:p>
      <w:pPr>
        <w:pStyle w:val="VEBodyTextFLI"/>
        <w:ind w:end="0"/>
        <w:rPr/>
      </w:pPr>
      <w:r>
        <w:rPr>
          <w:rStyle w:val="VEUnderline"/>
          <w:u w:val="none"/>
        </w:rPr>
        <w:t>“</w:t>
      </w:r>
      <w:r>
        <w:rPr>
          <w:rStyle w:val="VEBoldUnderlineItalic"/>
        </w:rPr>
        <w:t>PG&amp;E</w:t>
      </w:r>
      <w:r>
        <w:rPr>
          <w:rStyle w:val="VEBoldUnderlineItalic"/>
          <w:b w:val="false"/>
          <w:bCs/>
          <w:i w:val="false"/>
          <w:iCs/>
          <w:u w:val="none"/>
        </w:rPr>
        <w:t>” means PG&amp;E Energy Trading-Gas Corp.</w:t>
      </w:r>
    </w:p>
    <w:p>
      <w:pPr>
        <w:pStyle w:val="VEBodyTextFLI"/>
        <w:ind w:end="0"/>
        <w:rPr/>
      </w:pPr>
      <w:r>
        <w:rPr>
          <w:rStyle w:val="VEUnderline"/>
          <w:u w:val="none"/>
        </w:rPr>
        <w:t xml:space="preserve">SECTION 2.  </w:t>
      </w:r>
      <w:r>
        <w:rPr>
          <w:rStyle w:val="VEUnderline"/>
        </w:rPr>
        <w:t xml:space="preserve">Amendment to Transfer </w:t>
      </w:r>
      <w:r>
        <w:rPr>
          <w:rStyle w:val="VEUnderline"/>
          <w:u w:val="none"/>
        </w:rPr>
        <w:t>Agreement.  The parties to the Transfer Agreement are entering into Amendment No. 1 to Transfer Agreement (“</w:t>
      </w:r>
      <w:r>
        <w:rPr>
          <w:rStyle w:val="VEUnderline"/>
        </w:rPr>
        <w:t>Amendment No. 1 to Transfer Agreement</w:t>
      </w:r>
      <w:r>
        <w:rPr>
          <w:rStyle w:val="VEUnderline"/>
          <w:u w:val="none"/>
        </w:rPr>
        <w:t>”), as of even date herewith, in the form attached hereto as Exhibit A, which amends the Transfer Agreement.  The parties hereto consent to such Amendment No. 1 to Transfer Agreement and the terms and provisions thereof.</w:t>
      </w:r>
    </w:p>
    <w:p>
      <w:pPr>
        <w:pStyle w:val="VEBodyTextFLI"/>
        <w:ind w:end="0"/>
        <w:rPr/>
      </w:pPr>
      <w:r>
        <w:rPr>
          <w:rStyle w:val="VEUnderline"/>
          <w:u w:val="none"/>
        </w:rPr>
        <w:t xml:space="preserve">SECTION 3.  </w:t>
      </w:r>
      <w:r>
        <w:rPr>
          <w:rStyle w:val="VEUnderline"/>
        </w:rPr>
        <w:t>Effectiveness of this Amendment No. 1</w:t>
      </w:r>
      <w:r>
        <w:rPr>
          <w:rStyle w:val="VEUnderline"/>
          <w:u w:val="none"/>
        </w:rPr>
        <w:t>.  This Amendment No. 1 shall become effective upon the execution of this Amendment No. 1 by the parties hereto and the execution by the parties thereto of Amendment No. 1 to Transfer Agreement.</w:t>
      </w:r>
    </w:p>
    <w:p>
      <w:pPr>
        <w:pStyle w:val="VEBodyTextFLI"/>
        <w:ind w:end="0"/>
        <w:rPr/>
      </w:pPr>
      <w:r>
        <w:rPr>
          <w:rStyle w:val="VEUnderline"/>
          <w:u w:val="none"/>
        </w:rPr>
        <w:t xml:space="preserve">SECTION 4.  </w:t>
      </w:r>
      <w:r>
        <w:rPr>
          <w:rStyle w:val="VEUnderline"/>
        </w:rPr>
        <w:t>Confirmation of Agreement.</w:t>
      </w:r>
      <w:r>
        <w:rPr>
          <w:rStyle w:val="VEUnderline"/>
          <w:u w:val="none"/>
        </w:rPr>
        <w:t xml:space="preserve">  Except as herein expressly amended, the Receivables Purchase Agreement is ratified and confirmed in all respects and shall remain in full force and effect in accordance with its terms.  Each reference in the Receivables Purchase Agreement (a) to “this Agreement” or “the Agreement” or terms of like meaning shall mean the Receivables Purchase Agreement as amended by this Amendment No. 1, and (b) to the Transfer Agreement (without limitation to the first Preliminary Statement of the Receivables Purchase Agreement) shall mean the Transfer Agreement as amended by Amendment No. 1 to Transfer Agreement.</w:t>
      </w:r>
    </w:p>
    <w:p>
      <w:pPr>
        <w:pStyle w:val="VEBodyTextFLI"/>
        <w:ind w:end="0"/>
        <w:rPr/>
      </w:pPr>
      <w:r>
        <w:rPr>
          <w:rStyle w:val="VEUnderline"/>
          <w:u w:val="none"/>
        </w:rPr>
        <w:t xml:space="preserve">SECTION 5.  </w:t>
      </w:r>
      <w:r>
        <w:rPr>
          <w:rStyle w:val="VEBoldUnderline"/>
        </w:rPr>
        <w:t>GOVERNING LAW AND JURISDICTION.</w:t>
      </w:r>
    </w:p>
    <w:p>
      <w:pPr>
        <w:pStyle w:val="VEBodyTextFLI"/>
        <w:ind w:end="0"/>
        <w:rPr/>
      </w:pPr>
      <w:r>
        <w:rPr>
          <w:rStyle w:val="VEBold"/>
        </w:rPr>
        <w:t>(a)  THIS AMENDMENT NO. 1 SHALL BE GOVERNED BY, AND CONSTRUED IN ACCORDANCE WITH, THE LAWS OF THE STATE OF NEW YORK.</w:t>
      </w:r>
    </w:p>
    <w:p>
      <w:pPr>
        <w:pStyle w:val="VEBodyTextFLI"/>
        <w:ind w:end="0"/>
        <w:rPr/>
      </w:pPr>
      <w:r>
        <w:rPr>
          <w:rStyle w:val="VEBold"/>
        </w:rPr>
        <w:t>(b)  EACH PARTY HEREBY CONSENTS TO THE NON-EXCLUSIVE PERSONAL JURISDICTION OF THE FEDERAL DISTRICT COURT OF THE UNITED STATES OF AMERICA IN THE SOUTHERN DISTRICT OF NEW YORK SITTING IN NEW YORK COUNTY OR THE COMMERCIAL DIVISION, CIVIL BRANCH OF THE SUPREME COURT OF THE STATE OF NEW YORK AND ANY APPELLATE COURT FROM ANY THEREOF.  EACH OF THE PARTIES HERETO IRREVOCABLY WAIVES, TO THE MAXIMUM EXTENT PERMITTED BY LAW, ANY OBJECTION, INCLUDING ANY OBJECTION TO THE LAYING OF VENUE OR BASED ON THE GROUNDS OF FORUM NON CONVENIENS, WHICH IT MAY NOW OR HEREAFTER HAVE TO THE BRINGING OF ANY ACTION OR PROCEEDING IN SUCH JURISDICTION IN RESPECT OF THIS AMENDMENT NO. 1 OR ANY DOCUMENT RELATED HERETO.  EACH OF THE PARTIES HERETO WAIVES PERSONAL SERVICE OF ANY SUMMONS, COMPLAINT OR OTHER PROCESS, WHICH MAY BE MADE BY ANY OTHER MEANS PERMITTED BY NEW YORK LAW.</w:t>
      </w:r>
    </w:p>
    <w:p>
      <w:pPr>
        <w:pStyle w:val="VEBodyTextFLI"/>
        <w:ind w:end="0"/>
        <w:rPr/>
      </w:pPr>
      <w:r>
        <w:rPr>
          <w:rStyle w:val="VEBold"/>
          <w:b w:val="false"/>
          <w:bCs/>
        </w:rPr>
        <w:t xml:space="preserve">SECTION 6.  </w:t>
      </w:r>
      <w:r>
        <w:rPr>
          <w:rStyle w:val="VEUnderline"/>
        </w:rPr>
        <w:t>Execution in Counterparts.</w:t>
      </w:r>
      <w:r>
        <w:rPr>
          <w:rStyle w:val="VEUnderline"/>
          <w:u w:val="none"/>
        </w:rPr>
        <w:t xml:space="preserve">  This Amendment may be executed in any number of counterparts and by different parties hereto in separate counterparts, each of which when so executed shall be deemed to be an original and all of which when taken together shall constitute one and the same Amendment.  Delivery of an executed counterpart of a signature page to this Amendment by telecopier shall be as effective as delivery of a manually executed counterpart of this Amendment.</w:t>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Style w:val="VEBodyTextFLI"/>
        <w:ind w:end="0"/>
        <w:jc w:val="center"/>
        <w:rPr/>
      </w:pPr>
      <w:r>
        <w:rPr>
          <w:rStyle w:val="VEUnderline"/>
          <w:u w:val="none"/>
        </w:rPr>
        <w:t>[REMAINDER OF THIS PAGE INTENTIONALLY LEFT BLANK]</w:t>
      </w:r>
    </w:p>
    <w:p>
      <w:pPr>
        <w:pStyle w:val="VEBodyTextFLI"/>
        <w:ind w:end="0"/>
        <w:rPr/>
      </w:pPr>
      <w:r>
        <w:rPr>
          <w:rStyle w:val="VEUnderline"/>
          <w:u w:val="none"/>
        </w:rPr>
        <w:t>IN WITNESS WHEREOF, the parties have caused this Amendment No. 1 to be signed by their duly authorized officers as of the date set forth on the cover page of this Agreement.</w:t>
      </w:r>
    </w:p>
    <w:p>
      <w:pPr>
        <w:pStyle w:val="Normal"/>
        <w:tabs>
          <w:tab w:val="left" w:pos="720" w:leader="none"/>
          <w:tab w:val="left" w:pos="1710" w:leader="none"/>
          <w:tab w:val="left" w:pos="2160" w:leader="none"/>
          <w:tab w:val="left" w:pos="3960" w:leader="none"/>
        </w:tabs>
        <w:suppressAutoHyphens w:val="true"/>
        <w:ind w:start="4320" w:end="0"/>
        <w:rPr/>
      </w:pPr>
      <w:r>
        <w:rPr>
          <w:b/>
        </w:rPr>
        <w:t>SWEE’P, L.L.C.</w:t>
      </w:r>
      <w:r>
        <w:rPr/>
        <w:t>, as Seller</w:t>
      </w:r>
    </w:p>
    <w:p>
      <w:pPr>
        <w:pStyle w:val="Normal"/>
        <w:tabs>
          <w:tab w:val="left" w:pos="720" w:leader="none"/>
          <w:tab w:val="left" w:pos="1710" w:leader="none"/>
          <w:tab w:val="left" w:pos="2160" w:leader="none"/>
          <w:tab w:val="left" w:pos="3960" w:leader="none"/>
        </w:tabs>
        <w:suppressAutoHyphens w:val="true"/>
        <w:ind w:start="4320" w:end="0"/>
        <w:rPr/>
      </w:pPr>
      <w:r>
        <w:rPr/>
      </w:r>
    </w:p>
    <w:p>
      <w:pPr>
        <w:pStyle w:val="Normal"/>
        <w:tabs>
          <w:tab w:val="left" w:pos="720" w:leader="none"/>
          <w:tab w:val="left" w:pos="1710" w:leader="none"/>
          <w:tab w:val="left" w:pos="2160" w:leader="none"/>
          <w:tab w:val="left" w:pos="3960" w:leader="none"/>
        </w:tabs>
        <w:suppressAutoHyphens w:val="true"/>
        <w:ind w:start="4320" w:end="0"/>
        <w:rPr/>
      </w:pPr>
      <w:r>
        <w:rPr/>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 xml:space="preserve">Name: </w:t>
      </w:r>
    </w:p>
    <w:p>
      <w:pPr>
        <w:pStyle w:val="Normal"/>
        <w:suppressAutoHyphens w:val="true"/>
        <w:spacing w:before="0" w:after="240"/>
        <w:ind w:start="4320" w:end="0"/>
        <w:rPr/>
      </w:pPr>
      <w:r>
        <w:rPr>
          <w:rFonts w:cs="Times New Roman"/>
        </w:rPr>
        <w:t xml:space="preserve">    </w:t>
      </w:r>
      <w:r>
        <w:rPr/>
        <w:t xml:space="preserve">Title:  </w:t>
      </w:r>
    </w:p>
    <w:p>
      <w:pPr>
        <w:pStyle w:val="Normal"/>
        <w:suppressAutoHyphens w:val="true"/>
        <w:ind w:start="4320" w:end="0"/>
        <w:rPr/>
      </w:pPr>
      <w:r>
        <w:rPr/>
        <w:t>Address:</w:t>
      </w:r>
    </w:p>
    <w:p>
      <w:pPr>
        <w:pStyle w:val="Normal"/>
        <w:suppressAutoHyphens w:val="true"/>
        <w:ind w:start="4320" w:end="0"/>
        <w:rPr/>
      </w:pPr>
      <w:r>
        <w:rPr/>
        <w:t>1400 Smith Street</w:t>
      </w:r>
    </w:p>
    <w:p>
      <w:pPr>
        <w:pStyle w:val="Normal"/>
        <w:suppressAutoHyphens w:val="true"/>
        <w:ind w:start="4320" w:end="0"/>
        <w:rPr/>
      </w:pPr>
      <w:r>
        <w:rPr/>
        <w:t>Houston, Texas 77002</w:t>
      </w:r>
    </w:p>
    <w:p>
      <w:pPr>
        <w:pStyle w:val="Normal"/>
        <w:suppressAutoHyphens w:val="true"/>
        <w:ind w:start="4320" w:end="0"/>
        <w:rPr/>
      </w:pPr>
      <w:r>
        <w:rPr/>
        <w:t>Attention:  Joseph M. Deffner</w:t>
      </w:r>
    </w:p>
    <w:p>
      <w:pPr>
        <w:pStyle w:val="Normal"/>
        <w:suppressAutoHyphens w:val="true"/>
        <w:ind w:start="4320" w:end="0"/>
        <w:rPr/>
      </w:pPr>
      <w:r>
        <w:rPr/>
        <w:t>Telephone No.:  (713) 853-7117</w:t>
      </w:r>
    </w:p>
    <w:p>
      <w:pPr>
        <w:pStyle w:val="Normal"/>
        <w:suppressAutoHyphens w:val="true"/>
        <w:ind w:start="4320" w:end="0"/>
        <w:rPr/>
      </w:pPr>
      <w:r>
        <w:rPr/>
        <w:t>Facsimile No.:  (713) 646-3602</w:t>
      </w:r>
    </w:p>
    <w:p>
      <w:pPr>
        <w:pStyle w:val="Normal"/>
        <w:suppressAutoHyphens w:val="true"/>
        <w:ind w:firstLine="4320" w:end="0"/>
        <w:rPr>
          <w:b/>
        </w:rPr>
      </w:pPr>
      <w:r>
        <w:rPr>
          <w:b/>
        </w:rPr>
      </w:r>
    </w:p>
    <w:p>
      <w:pPr>
        <w:pStyle w:val="Normal"/>
        <w:suppressAutoHyphens w:val="true"/>
        <w:ind w:firstLine="4320" w:end="0"/>
        <w:rPr>
          <w:b/>
        </w:rPr>
      </w:pPr>
      <w:r>
        <w:rPr>
          <w:b/>
        </w:rPr>
      </w:r>
    </w:p>
    <w:p>
      <w:pPr>
        <w:pStyle w:val="Normal"/>
        <w:suppressAutoHyphens w:val="true"/>
        <w:ind w:firstLine="4320" w:end="0"/>
        <w:rPr>
          <w:b/>
        </w:rPr>
      </w:pPr>
      <w:r>
        <w:rPr>
          <w:b/>
        </w:rPr>
        <w:t>ENRON NORTH AMERICA CORP.,</w:t>
      </w:r>
    </w:p>
    <w:p>
      <w:pPr>
        <w:pStyle w:val="Normal"/>
        <w:suppressAutoHyphens w:val="true"/>
        <w:spacing w:before="0" w:after="240"/>
        <w:ind w:firstLine="4599" w:end="0"/>
        <w:rPr/>
      </w:pPr>
      <w:r>
        <w:rPr/>
        <w:t>as Collection Agent</w:t>
        <w:br/>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 xml:space="preserve">Name: </w:t>
      </w:r>
    </w:p>
    <w:p>
      <w:pPr>
        <w:pStyle w:val="Normal"/>
        <w:suppressAutoHyphens w:val="true"/>
        <w:spacing w:before="0" w:after="240"/>
        <w:ind w:start="4320" w:end="0"/>
        <w:rPr/>
      </w:pPr>
      <w:r>
        <w:rPr>
          <w:rFonts w:cs="Times New Roman"/>
        </w:rPr>
        <w:t xml:space="preserve">    </w:t>
      </w:r>
      <w:r>
        <w:rPr/>
        <w:t xml:space="preserve">Title:  </w:t>
      </w:r>
    </w:p>
    <w:p>
      <w:pPr>
        <w:pStyle w:val="Normal"/>
        <w:suppressAutoHyphens w:val="true"/>
        <w:ind w:start="4320" w:end="0"/>
        <w:rPr/>
      </w:pPr>
      <w:r>
        <w:rPr/>
        <w:t>Address:</w:t>
      </w:r>
    </w:p>
    <w:p>
      <w:pPr>
        <w:pStyle w:val="Normal"/>
        <w:suppressAutoHyphens w:val="true"/>
        <w:ind w:start="4320" w:end="0"/>
        <w:rPr/>
      </w:pPr>
      <w:r>
        <w:rPr/>
        <w:t>1400 Smith Street</w:t>
      </w:r>
    </w:p>
    <w:p>
      <w:pPr>
        <w:pStyle w:val="Normal"/>
        <w:suppressAutoHyphens w:val="true"/>
        <w:ind w:start="4320" w:end="0"/>
        <w:rPr/>
      </w:pPr>
      <w:r>
        <w:rPr/>
        <w:t>Houston, Texas 77002</w:t>
      </w:r>
    </w:p>
    <w:p>
      <w:pPr>
        <w:pStyle w:val="Normal"/>
        <w:suppressAutoHyphens w:val="true"/>
        <w:ind w:start="4320" w:end="0"/>
        <w:rPr/>
      </w:pPr>
      <w:r>
        <w:rPr/>
        <w:t>Attention:  Joseph M. Deffner</w:t>
      </w:r>
    </w:p>
    <w:p>
      <w:pPr>
        <w:pStyle w:val="Normal"/>
        <w:suppressAutoHyphens w:val="true"/>
        <w:ind w:start="4320" w:end="0"/>
        <w:rPr/>
      </w:pPr>
      <w:r>
        <w:rPr/>
        <w:t>Telephone No.:  (713) 853-7117</w:t>
      </w:r>
    </w:p>
    <w:p>
      <w:pPr>
        <w:pStyle w:val="Normal"/>
        <w:suppressAutoHyphens w:val="true"/>
        <w:ind w:start="4320" w:end="0"/>
        <w:rPr/>
      </w:pPr>
      <w:r>
        <w:rPr/>
        <w:t>Facsimile No.:  (713) 646-3602</w:t>
      </w:r>
    </w:p>
    <w:p>
      <w:pPr>
        <w:pStyle w:val="Normal"/>
        <w:suppressAutoHyphens w:val="true"/>
        <w:ind w:firstLine="4320" w:end="0"/>
        <w:rPr>
          <w:b/>
        </w:rPr>
      </w:pPr>
      <w:r>
        <w:rPr>
          <w:b/>
        </w:rPr>
      </w:r>
      <w:r>
        <w:br w:type="page"/>
      </w:r>
    </w:p>
    <w:p>
      <w:pPr>
        <w:pStyle w:val="Normal"/>
        <w:suppressAutoHyphens w:val="true"/>
        <w:spacing w:before="0" w:after="480"/>
        <w:ind w:start="4320" w:end="0"/>
        <w:rPr/>
      </w:pPr>
      <w:r>
        <w:rPr>
          <w:b/>
        </w:rPr>
        <w:t>ASSET SECURITIZATION COOPERATIVE CORPORATION</w:t>
      </w:r>
      <w:r>
        <w:rPr/>
        <w:t>, as Conduit Purchaser</w:t>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Name:</w:t>
      </w:r>
    </w:p>
    <w:p>
      <w:pPr>
        <w:pStyle w:val="Normal"/>
        <w:suppressAutoHyphens w:val="true"/>
        <w:spacing w:before="0" w:after="240"/>
        <w:ind w:start="4320" w:end="0"/>
        <w:rPr/>
      </w:pPr>
      <w:r>
        <w:rPr>
          <w:rFonts w:cs="Times New Roman"/>
        </w:rPr>
        <w:t xml:space="preserve">     </w:t>
      </w:r>
      <w:r>
        <w:rPr/>
        <w:t>Title:</w:t>
      </w:r>
    </w:p>
    <w:p>
      <w:pPr>
        <w:pStyle w:val="Normal"/>
        <w:suppressAutoHyphens w:val="true"/>
        <w:ind w:start="4320" w:end="0"/>
        <w:rPr/>
      </w:pPr>
      <w:r>
        <w:rPr/>
        <w:t>Address:  425 Lexington Avenue</w:t>
      </w:r>
    </w:p>
    <w:p>
      <w:pPr>
        <w:pStyle w:val="Normal"/>
        <w:suppressAutoHyphens w:val="true"/>
        <w:ind w:start="4320" w:end="0"/>
        <w:rPr/>
      </w:pPr>
      <w:r>
        <w:rPr/>
        <w:t>New York, New York 10017</w:t>
      </w:r>
    </w:p>
    <w:p>
      <w:pPr>
        <w:pStyle w:val="Normal"/>
        <w:suppressAutoHyphens w:val="true"/>
        <w:ind w:start="4320" w:end="0"/>
        <w:rPr/>
      </w:pPr>
      <w:r>
        <w:rPr/>
        <w:t>Attention:  President</w:t>
      </w:r>
    </w:p>
    <w:p>
      <w:pPr>
        <w:pStyle w:val="Normal"/>
        <w:suppressAutoHyphens w:val="true"/>
        <w:ind w:start="4320" w:end="0"/>
        <w:rPr/>
      </w:pPr>
      <w:r>
        <w:rPr/>
        <w:t>Telephone:  (212) 856-3885</w:t>
      </w:r>
    </w:p>
    <w:p>
      <w:pPr>
        <w:pStyle w:val="Normal"/>
        <w:suppressAutoHyphens w:val="true"/>
        <w:spacing w:before="0" w:after="480"/>
        <w:ind w:start="4320" w:end="0"/>
        <w:rPr/>
      </w:pPr>
      <w:r>
        <w:rPr/>
        <w:t>Facsimile:  (212) 856-3643</w:t>
      </w:r>
    </w:p>
    <w:p>
      <w:pPr>
        <w:pStyle w:val="Normal"/>
        <w:tabs>
          <w:tab w:val="left" w:pos="720" w:leader="none"/>
          <w:tab w:val="center" w:pos="4680" w:leader="none"/>
        </w:tabs>
        <w:suppressAutoHyphens w:val="true"/>
        <w:ind w:hanging="4320" w:start="4320" w:end="0"/>
        <w:rPr>
          <w:b/>
        </w:rPr>
      </w:pPr>
      <w:r>
        <w:rPr>
          <w:b/>
        </w:rPr>
        <w:tab/>
        <w:tab/>
        <w:t>CANADIAN IMPERIAL BANK OF</w:t>
      </w:r>
    </w:p>
    <w:p>
      <w:pPr>
        <w:pStyle w:val="Normal"/>
        <w:tabs>
          <w:tab w:val="left" w:pos="720" w:leader="none"/>
          <w:tab w:val="center" w:pos="4680" w:leader="none"/>
        </w:tabs>
        <w:suppressAutoHyphens w:val="true"/>
        <w:ind w:hanging="4320" w:start="4320" w:end="0"/>
        <w:rPr/>
      </w:pPr>
      <w:r>
        <w:rPr>
          <w:b/>
        </w:rPr>
        <w:tab/>
        <w:tab/>
        <w:t xml:space="preserve">COMMERCE, </w:t>
      </w:r>
      <w:r>
        <w:rPr/>
        <w:t xml:space="preserve">as a Committed Purchaser and </w:t>
        <w:tab/>
        <w:t xml:space="preserve"> Administrative Agent</w:t>
      </w:r>
    </w:p>
    <w:p>
      <w:pPr>
        <w:pStyle w:val="Normal"/>
        <w:tabs>
          <w:tab w:val="left" w:pos="720" w:leader="none"/>
          <w:tab w:val="center" w:pos="4680" w:leader="none"/>
        </w:tabs>
        <w:suppressAutoHyphens w:val="true"/>
        <w:ind w:start="4320" w:end="0"/>
        <w:rPr/>
      </w:pPr>
      <w:r>
        <w:rPr/>
      </w:r>
    </w:p>
    <w:p>
      <w:pPr>
        <w:pStyle w:val="Normal"/>
        <w:tabs>
          <w:tab w:val="left" w:pos="720" w:leader="none"/>
          <w:tab w:val="center" w:pos="4680" w:leader="none"/>
        </w:tabs>
        <w:suppressAutoHyphens w:val="true"/>
        <w:ind w:start="4320" w:end="0"/>
        <w:rPr/>
      </w:pPr>
      <w:r>
        <w:rPr/>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Name:</w:t>
      </w:r>
    </w:p>
    <w:p>
      <w:pPr>
        <w:pStyle w:val="Normal"/>
        <w:suppressAutoHyphens w:val="true"/>
        <w:spacing w:before="0" w:after="240"/>
        <w:ind w:start="4320" w:end="0"/>
        <w:rPr/>
      </w:pPr>
      <w:r>
        <w:rPr>
          <w:rFonts w:cs="Times New Roman"/>
        </w:rPr>
        <w:t xml:space="preserve">     </w:t>
      </w:r>
      <w:r>
        <w:rPr/>
        <w:t>Title:</w:t>
      </w:r>
    </w:p>
    <w:p>
      <w:pPr>
        <w:pStyle w:val="Normal"/>
        <w:suppressAutoHyphens w:val="true"/>
        <w:ind w:start="4320" w:end="0"/>
        <w:rPr/>
      </w:pPr>
      <w:r>
        <w:rPr/>
        <w:t>By:_______________________________________</w:t>
      </w:r>
    </w:p>
    <w:p>
      <w:pPr>
        <w:pStyle w:val="Normal"/>
        <w:suppressAutoHyphens w:val="true"/>
        <w:ind w:start="4320" w:end="0"/>
        <w:rPr/>
      </w:pPr>
      <w:r>
        <w:rPr>
          <w:rFonts w:cs="Times New Roman"/>
        </w:rPr>
        <w:t xml:space="preserve">     </w:t>
      </w:r>
      <w:r>
        <w:rPr/>
        <w:t>Name:</w:t>
      </w:r>
    </w:p>
    <w:p>
      <w:pPr>
        <w:pStyle w:val="Normal"/>
        <w:suppressAutoHyphens w:val="true"/>
        <w:spacing w:before="0" w:after="240"/>
        <w:ind w:start="4320" w:end="0"/>
        <w:rPr/>
      </w:pPr>
      <w:r>
        <w:rPr>
          <w:rFonts w:cs="Times New Roman"/>
        </w:rPr>
        <w:t xml:space="preserve">     </w:t>
      </w:r>
      <w:r>
        <w:rPr/>
        <w:t>Title:</w:t>
      </w:r>
    </w:p>
    <w:p>
      <w:pPr>
        <w:pStyle w:val="Normal"/>
        <w:suppressAutoHyphens w:val="true"/>
        <w:ind w:start="4320" w:end="0"/>
        <w:rPr/>
      </w:pPr>
      <w:r>
        <w:rPr/>
        <w:t>Address:  425 Lexington Avenue</w:t>
      </w:r>
    </w:p>
    <w:p>
      <w:pPr>
        <w:pStyle w:val="Normal"/>
        <w:suppressAutoHyphens w:val="true"/>
        <w:ind w:start="4320" w:end="0"/>
        <w:rPr/>
      </w:pPr>
      <w:r>
        <w:rPr/>
        <w:t>New York, New York 10017</w:t>
      </w:r>
    </w:p>
    <w:p>
      <w:pPr>
        <w:pStyle w:val="Normal"/>
        <w:suppressAutoHyphens w:val="true"/>
        <w:ind w:start="4320" w:end="0"/>
        <w:rPr/>
      </w:pPr>
      <w:r>
        <w:rPr/>
        <w:t>Attention: Asset Securitization Group</w:t>
      </w:r>
    </w:p>
    <w:p>
      <w:pPr>
        <w:pStyle w:val="Normal"/>
        <w:suppressAutoHyphens w:val="true"/>
        <w:ind w:start="4320" w:end="0"/>
        <w:rPr/>
      </w:pPr>
      <w:r>
        <w:rPr/>
        <w:t>Telephone:  (212) 856-3885</w:t>
      </w:r>
    </w:p>
    <w:p>
      <w:pPr>
        <w:pStyle w:val="Normal"/>
        <w:suppressAutoHyphens w:val="true"/>
        <w:ind w:start="4320" w:end="0"/>
        <w:rPr/>
      </w:pPr>
      <w:r>
        <w:rPr/>
        <w:t>Facsimile:  (212) 856-3643</w:t>
      </w:r>
    </w:p>
    <w:p>
      <w:pPr>
        <w:pStyle w:val="Normal"/>
        <w:rPr/>
      </w:pPr>
      <w:r>
        <w:rPr/>
      </w:r>
    </w:p>
    <w:p>
      <w:pPr>
        <w:pStyle w:val="VEBodyTextFLI"/>
        <w:spacing w:before="0" w:after="240"/>
        <w:ind w:end="0"/>
        <w:jc w:val="center"/>
        <w:rPr>
          <w:rStyle w:val="VEUnderline"/>
          <w:u w:val="none"/>
        </w:rPr>
      </w:pPr>
      <w:r>
        <w:rPr/>
      </w:r>
    </w:p>
    <w:sectPr>
      <w:headerReference w:type="default" r:id="rId3"/>
      <w:footerReference w:type="default" r:id="rId4"/>
      <w:footerReference w:type="first" r:id="rId5"/>
      <w:type w:val="nextPage"/>
      <w:pgSz w:w="12240" w:h="15840"/>
      <w:pgMar w:left="1440" w:right="1440" w:gutter="0" w:header="1440" w:top="1496" w:footer="864" w:bottom="920"/>
      <w:pgNumType w:start="6"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p>
    <w:pPr>
      <w:pStyle w:val="Footer"/>
      <w:rPr>
        <w:sz w:val="16"/>
      </w:rPr>
    </w:pPr>
    <w:r>
      <w:rPr>
        <w:sz w:val="16"/>
      </w:rPr>
    </w:r>
  </w:p>
  <w:p>
    <w:pPr>
      <w:pStyle w:val="Footer"/>
      <w:rPr>
        <w:sz w:val="16"/>
      </w:rPr>
    </w:pPr>
    <w:r>
      <w:rPr>
        <w:sz w:val="16"/>
      </w:rPr>
      <w:t>je/amendment no. 1 to receivables purchase agreement-02.doc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Style w:val="VEBold"/>
        <w:b w:val="false"/>
        <w:sz w:val="2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suff w:val="nothing"/>
      <w:lvlText w:val="ARTICLE %1"/>
      <w:lvlJc w:val="start"/>
      <w:pPr>
        <w:tabs>
          <w:tab w:val="num" w:pos="0"/>
        </w:tabs>
        <w:ind w:start="0" w:hanging="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1">
      <w:start w:val="1"/>
      <w:pStyle w:val="Heading2"/>
      <w:isLgl/>
      <w:numFmt w:val="decimal"/>
      <w:suff w:val="nothing"/>
      <w:lvlText w:val="SECTION %1.%2.  "/>
      <w:lvlJc w:val="start"/>
      <w:pPr>
        <w:tabs>
          <w:tab w:val="num" w:pos="0"/>
        </w:tabs>
        <w:ind w:start="0" w:firstLine="144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2">
      <w:start w:val="1"/>
      <w:pStyle w:val="Heading3"/>
      <w:isLgl/>
      <w:numFmt w:val="decimal"/>
      <w:suff w:val="nothing"/>
      <w:lvlText w:val="SECTION %1.%2.%3.  "/>
      <w:lvlJc w:val="start"/>
      <w:pPr>
        <w:tabs>
          <w:tab w:val="num" w:pos="0"/>
        </w:tabs>
        <w:ind w:start="36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3">
      <w:start w:val="1"/>
      <w:pStyle w:val="Heading4"/>
      <w:numFmt w:val="lowerLetter"/>
      <w:suff w:val="nothing"/>
      <w:lvlText w:val="(%4)  "/>
      <w:lvlJc w:val="start"/>
      <w:pPr>
        <w:tabs>
          <w:tab w:val="num" w:pos="0"/>
        </w:tabs>
        <w:ind w:start="360" w:firstLine="72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4">
      <w:start w:val="1"/>
      <w:pStyle w:val="Heading5"/>
      <w:numFmt w:val="lowerRoman"/>
      <w:suff w:val="nothing"/>
      <w:lvlText w:val="(%5)  "/>
      <w:lvlJc w:val="start"/>
      <w:pPr>
        <w:tabs>
          <w:tab w:val="num" w:pos="0"/>
        </w:tabs>
        <w:ind w:start="1080" w:firstLine="360"/>
      </w:pPr>
      <w:rPr>
        <w:smallCaps w:val="false"/>
        <w:caps w:val="false"/>
        <w:outline w:val="false"/>
        <w:dstrike w:val="false"/>
        <w:strike w:val="false"/>
        <w:vertAlign w:val="baseline"/>
        <w:position w:val="0"/>
        <w:sz w:val="24"/>
        <w:spacing w:val="0"/>
        <w:i w:val="false"/>
        <w:shadow w:val="false"/>
        <w:u w:val="none"/>
        <w:b w:val="false"/>
        <w:kern w:val="0"/>
        <w:w w:val="100"/>
        <w:vanish w:val="false"/>
        <w:color w:val="auto"/>
      </w:r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1080"/>
        </w:tabs>
        <w:ind w:start="1080" w:hanging="360"/>
      </w:p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360"/>
        </w:tabs>
        <w:ind w:start="0" w:hanging="0"/>
      </w:pPr>
      <w:rPr/>
    </w:lvl>
  </w:abstractNum>
  <w:abstractNum w:abstractNumId="5">
    <w:lvl w:ilvl="0">
      <w:start w:val="1"/>
      <w:numFmt w:val="upperLetter"/>
      <w:lvlText w:val="%1."/>
      <w:lvlJc w:val="start"/>
      <w:pPr>
        <w:tabs>
          <w:tab w:val="num" w:pos="360"/>
        </w:tabs>
        <w:ind w:start="0" w:hanging="0"/>
      </w:pPr>
      <w:rPr/>
    </w:lvl>
  </w:abstractNum>
  <w:abstractNum w:abstractNumId="6">
    <w:lvl w:ilvl="0">
      <w:start w:val="1"/>
      <w:numFmt w:val="upperLetter"/>
      <w:lvlText w:val="%1."/>
      <w:lvlJc w:val="start"/>
      <w:pPr>
        <w:tabs>
          <w:tab w:val="num" w:pos="1440"/>
        </w:tabs>
        <w:ind w:start="1440" w:hanging="720"/>
      </w:pPr>
      <w:rPr/>
    </w:lvl>
  </w:abstractNum>
  <w:abstractNum w:abstractNumId="7">
    <w:lvl w:ilvl="0">
      <w:start w:val="1"/>
      <w:numFmt w:val="upperRoman"/>
      <w:suff w:val="nothing"/>
      <w:lvlText w:val="SCHEDULE %1"/>
      <w:lvlJc w:val="start"/>
      <w:pPr>
        <w:tabs>
          <w:tab w:val="num" w:pos="0"/>
        </w:tabs>
        <w:ind w:start="720" w:hanging="0"/>
      </w:pPr>
      <w:rPr/>
    </w:lvl>
    <w:lvl w:ilvl="1">
      <w:start w:val="1"/>
      <w:isLgl/>
      <w:numFmt w:val="decimal"/>
      <w:lvlText w:val="%1.%2"/>
      <w:lvlJc w:val="start"/>
      <w:pPr>
        <w:tabs>
          <w:tab w:val="num" w:pos="2160"/>
        </w:tabs>
        <w:ind w:start="2160" w:hanging="720"/>
      </w:pPr>
      <w:rPr/>
    </w:lvl>
    <w:lvl w:ilvl="2">
      <w:start w:val="1"/>
      <w:numFmt w:val="lowerLetter"/>
      <w:lvlText w:val="(%3)"/>
      <w:lvlJc w:val="start"/>
      <w:pPr>
        <w:tabs>
          <w:tab w:val="num" w:pos="2880"/>
        </w:tabs>
        <w:ind w:start="2880" w:hanging="720"/>
      </w:pPr>
      <w:rPr/>
    </w:lvl>
    <w:lvl w:ilvl="3">
      <w:start w:val="1"/>
      <w:numFmt w:val="lowerRoman"/>
      <w:lvlText w:val="(%4)"/>
      <w:lvlJc w:val="start"/>
      <w:pPr>
        <w:tabs>
          <w:tab w:val="num" w:pos="3960"/>
        </w:tabs>
        <w:ind w:start="3600" w:hanging="720"/>
      </w:pPr>
      <w:rPr/>
    </w:lvl>
    <w:lvl w:ilvl="4">
      <w:start w:val="1"/>
      <w:numFmt w:val="lowerRoman"/>
      <w:lvlText w:val="(%5)"/>
      <w:lvlJc w:val="start"/>
      <w:pPr>
        <w:tabs>
          <w:tab w:val="num" w:pos="4680"/>
        </w:tabs>
        <w:ind w:start="2880" w:firstLine="720"/>
      </w:pPr>
      <w:rPr/>
    </w:lvl>
    <w:lvl w:ilvl="5">
      <w:start w:val="1"/>
      <w:numFmt w:val="upperLetter"/>
      <w:lvlText w:val="(%6)"/>
      <w:lvlJc w:val="start"/>
      <w:pPr>
        <w:tabs>
          <w:tab w:val="num" w:pos="5040"/>
        </w:tabs>
        <w:ind w:start="3600" w:firstLine="720"/>
      </w:pPr>
      <w:rPr/>
    </w:lvl>
    <w:lvl w:ilvl="6">
      <w:start w:val="1"/>
      <w:numFmt w:val="lowerRoman"/>
      <w:lvlText w:val="%7."/>
      <w:lvlJc w:val="start"/>
      <w:pPr>
        <w:ind w:start="2160" w:hanging="0"/>
      </w:pPr>
      <w:rPr/>
    </w:lvl>
    <w:lvl w:ilvl="7">
      <w:start w:val="1"/>
      <w:numFmt w:val="lowerLetter"/>
      <w:lvlText w:val="%8."/>
      <w:lvlJc w:val="start"/>
      <w:pPr>
        <w:tabs>
          <w:tab w:val="num" w:pos="1080"/>
        </w:tabs>
        <w:ind w:start="720" w:hanging="0"/>
      </w:pPr>
      <w:rPr/>
    </w:lvl>
    <w:lvl w:ilvl="8">
      <w:start w:val="1"/>
      <w:numFmt w:val="bullet"/>
      <w:lvlText w:val=""/>
      <w:lvlJc w:val="start"/>
      <w:pPr>
        <w:tabs>
          <w:tab w:val="num" w:pos="1080"/>
        </w:tabs>
        <w:ind w:start="720" w:hanging="0"/>
      </w:pPr>
      <w:rPr>
        <w:rFonts w:ascii="Symbol" w:hAnsi="Symbol" w:cs="Symbol" w:hint="default"/>
        <w:color w:val="000000"/>
      </w:rPr>
    </w:lvl>
  </w:abstractNum>
  <w:abstractNum w:abstractNumId="8">
    <w:lvl w:ilvl="0">
      <w:start w:val="1"/>
      <w:numFmt w:val="decimal"/>
      <w:lvlText w:val=" %1"/>
      <w:lvlJc w:val="start"/>
      <w:pPr>
        <w:tabs>
          <w:tab w:val="num" w:pos="0"/>
        </w:tabs>
        <w:ind w:start="0" w:hanging="0"/>
      </w:pPr>
    </w:lvl>
    <w:lvl w:ilvl="1">
      <w:start w:val="1"/>
      <w:isLgl/>
      <w:numFmt w:val="decimal"/>
      <w:lvlText w:val="%1.%2"/>
      <w:lvlJc w:val="start"/>
      <w:pPr>
        <w:tabs>
          <w:tab w:val="num" w:pos="0"/>
        </w:tabs>
        <w:ind w:start="0" w:firstLine="720"/>
      </w:pPr>
    </w:lvl>
    <w:lvl w:ilvl="2">
      <w:start w:val="1"/>
      <w:isLgl/>
      <w:numFmt w:val="decimal"/>
      <w:lvlText w:val="%1.%2.%3"/>
      <w:lvlJc w:val="start"/>
      <w:pPr>
        <w:tabs>
          <w:tab w:val="num" w:pos="0"/>
        </w:tabs>
        <w:ind w:start="0" w:firstLine="1440"/>
      </w:pPr>
    </w:lvl>
    <w:lvl w:ilvl="3">
      <w:start w:val="1"/>
      <w:isLgl/>
      <w:numFmt w:val="decimal"/>
      <w:lvlText w:val="%1.%2.%3.%4"/>
      <w:lvlJc w:val="start"/>
      <w:pPr>
        <w:tabs>
          <w:tab w:val="num" w:pos="0"/>
        </w:tabs>
        <w:ind w:start="0" w:firstLine="2160"/>
      </w:pPr>
    </w:lvl>
    <w:lvl w:ilvl="4">
      <w:start w:val="1"/>
      <w:isLgl/>
      <w:numFmt w:val="decimal"/>
      <w:lvlText w:val="%1.%2.%3.%4.%5"/>
      <w:lvlJc w:val="start"/>
      <w:pPr>
        <w:tabs>
          <w:tab w:val="num" w:pos="0"/>
        </w:tabs>
        <w:ind w:start="0" w:firstLine="2880"/>
      </w:pPr>
    </w:lvl>
    <w:lvl w:ilvl="5">
      <w:start w:val="1"/>
      <w:isLgl/>
      <w:numFmt w:val="decimal"/>
      <w:lvlText w:val="%1.%2.%3.%4.%5.%6"/>
      <w:lvlJc w:val="start"/>
      <w:pPr>
        <w:tabs>
          <w:tab w:val="num" w:pos="0"/>
        </w:tabs>
        <w:ind w:start="0" w:firstLine="3600"/>
      </w:pPr>
    </w:lvl>
    <w:lvl w:ilvl="6">
      <w:start w:val="1"/>
      <w:isLgl/>
      <w:numFmt w:val="decimal"/>
      <w:lvlText w:val="%1.%2.%3.%4.%5.%6.%7"/>
      <w:lvlJc w:val="start"/>
      <w:pPr>
        <w:tabs>
          <w:tab w:val="num" w:pos="0"/>
        </w:tabs>
        <w:ind w:start="0" w:firstLine="4320"/>
      </w:pPr>
    </w:lvl>
    <w:lvl w:ilvl="7">
      <w:start w:val="1"/>
      <w:isLgl/>
      <w:numFmt w:val="decimal"/>
      <w:lvlText w:val="%1.%2.%3.%4.%5.%6.%7.%8"/>
      <w:lvlJc w:val="start"/>
      <w:pPr>
        <w:tabs>
          <w:tab w:val="num" w:pos="0"/>
        </w:tabs>
        <w:ind w:start="0" w:firstLine="5040"/>
      </w:pPr>
    </w:lvl>
    <w:lvl w:ilvl="8">
      <w:start w:val="1"/>
      <w:isLgl/>
      <w:numFmt w:val="decimal"/>
      <w:lvlText w:val="%1.%2.%3.%4.%5.%6.%7.%8.%9"/>
      <w:lvlJc w:val="start"/>
      <w:pPr>
        <w:tabs>
          <w:tab w:val="num" w:pos="0"/>
        </w:tabs>
        <w:ind w:start="0" w:firstLine="5760"/>
      </w:pPr>
    </w:lvl>
  </w:abstractNum>
  <w:abstractNum w:abstractNumId="9">
    <w:lvl w:ilvl="0">
      <w:start w:val="1"/>
      <w:numFmt w:val="bullet"/>
      <w:lvlText w:val=""/>
      <w:lvlJc w:val="start"/>
      <w:pPr>
        <w:tabs>
          <w:tab w:val="num" w:pos="1440"/>
        </w:tabs>
        <w:ind w:start="1440" w:hanging="72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Arial"/>
      <w:color w:val="auto"/>
      <w:sz w:val="24"/>
      <w:szCs w:val="24"/>
      <w:lang w:val="en-US" w:bidi="ar-SA" w:eastAsia="zh-CN"/>
    </w:rPr>
  </w:style>
  <w:style w:type="paragraph" w:styleId="Heading1">
    <w:name w:val="heading 1"/>
    <w:basedOn w:val="Normal"/>
    <w:next w:val="BodyTextFirstIndent"/>
    <w:qFormat/>
    <w:pPr>
      <w:keepNext w:val="true"/>
      <w:numPr>
        <w:ilvl w:val="0"/>
        <w:numId w:val="1"/>
      </w:numPr>
      <w:spacing w:before="120" w:after="120"/>
      <w:jc w:val="center"/>
      <w:outlineLvl w:val="0"/>
    </w:pPr>
    <w:rPr>
      <w:rFonts w:cs="Times New Roman"/>
      <w:szCs w:val="20"/>
    </w:rPr>
  </w:style>
  <w:style w:type="paragraph" w:styleId="Heading2">
    <w:name w:val="heading 2"/>
    <w:basedOn w:val="Normal"/>
    <w:next w:val="BodyTextFirstIndent"/>
    <w:qFormat/>
    <w:pPr>
      <w:numPr>
        <w:ilvl w:val="1"/>
        <w:numId w:val="1"/>
      </w:numPr>
      <w:spacing w:before="120" w:after="120"/>
      <w:outlineLvl w:val="1"/>
    </w:pPr>
    <w:rPr>
      <w:rFonts w:cs="Times New Roman"/>
      <w:szCs w:val="20"/>
    </w:rPr>
  </w:style>
  <w:style w:type="paragraph" w:styleId="Heading3">
    <w:name w:val="heading 3"/>
    <w:basedOn w:val="Normal"/>
    <w:next w:val="BodyTextFirstIndent"/>
    <w:qFormat/>
    <w:pPr>
      <w:numPr>
        <w:ilvl w:val="2"/>
        <w:numId w:val="1"/>
      </w:numPr>
      <w:spacing w:before="120" w:after="120"/>
      <w:outlineLvl w:val="2"/>
    </w:pPr>
    <w:rPr>
      <w:rFonts w:cs="Times New Roman"/>
      <w:szCs w:val="20"/>
    </w:rPr>
  </w:style>
  <w:style w:type="paragraph" w:styleId="Heading4">
    <w:name w:val="heading 4"/>
    <w:basedOn w:val="Normal"/>
    <w:next w:val="BodyTextFirstIndent"/>
    <w:qFormat/>
    <w:pPr>
      <w:numPr>
        <w:ilvl w:val="3"/>
        <w:numId w:val="1"/>
      </w:numPr>
      <w:spacing w:before="120" w:after="120"/>
      <w:outlineLvl w:val="3"/>
    </w:pPr>
    <w:rPr>
      <w:rFonts w:cs="Times New Roman"/>
      <w:szCs w:val="20"/>
    </w:rPr>
  </w:style>
  <w:style w:type="paragraph" w:styleId="Heading5">
    <w:name w:val="heading 5"/>
    <w:basedOn w:val="Normal"/>
    <w:next w:val="Normal"/>
    <w:qFormat/>
    <w:pPr>
      <w:numPr>
        <w:ilvl w:val="4"/>
        <w:numId w:val="1"/>
      </w:numPr>
      <w:spacing w:before="120" w:after="120"/>
      <w:outlineLvl w:val="4"/>
    </w:pPr>
    <w:rPr>
      <w:rFonts w:cs="Times New Roman"/>
      <w:szCs w:val="20"/>
    </w:rPr>
  </w:style>
  <w:style w:type="paragraph" w:styleId="Heading6">
    <w:name w:val="heading 6"/>
    <w:basedOn w:val="Normal"/>
    <w:next w:val="BodyTextFirstIndent"/>
    <w:qFormat/>
    <w:pPr>
      <w:numPr>
        <w:ilvl w:val="5"/>
        <w:numId w:val="1"/>
      </w:numPr>
      <w:spacing w:before="0" w:after="240"/>
      <w:outlineLvl w:val="5"/>
    </w:pPr>
    <w:rPr>
      <w:rFonts w:cs="Times New Roman"/>
      <w:szCs w:val="20"/>
    </w:rPr>
  </w:style>
  <w:style w:type="paragraph" w:styleId="Heading7">
    <w:name w:val="heading 7"/>
    <w:basedOn w:val="Normal"/>
    <w:next w:val="BodyTextFirstIndent"/>
    <w:qFormat/>
    <w:pPr>
      <w:numPr>
        <w:ilvl w:val="6"/>
        <w:numId w:val="1"/>
      </w:numPr>
      <w:spacing w:before="0" w:after="240"/>
      <w:outlineLvl w:val="6"/>
    </w:pPr>
    <w:rPr>
      <w:rFonts w:cs="Times New Roman"/>
      <w:szCs w:val="20"/>
    </w:rPr>
  </w:style>
  <w:style w:type="paragraph" w:styleId="Heading8">
    <w:name w:val="heading 8"/>
    <w:basedOn w:val="Normal"/>
    <w:next w:val="BodyTextFirstIndent"/>
    <w:qFormat/>
    <w:pPr>
      <w:numPr>
        <w:ilvl w:val="7"/>
        <w:numId w:val="1"/>
      </w:numPr>
      <w:spacing w:before="0" w:after="240"/>
      <w:outlineLvl w:val="7"/>
    </w:pPr>
    <w:rPr>
      <w:rFonts w:cs="Times New Roman"/>
      <w:szCs w:val="20"/>
    </w:rPr>
  </w:style>
  <w:style w:type="paragraph" w:styleId="Heading9">
    <w:name w:val="heading 9"/>
    <w:basedOn w:val="Normal"/>
    <w:next w:val="BodyTextFirstIndent"/>
    <w:qFormat/>
    <w:pPr>
      <w:numPr>
        <w:ilvl w:val="8"/>
        <w:numId w:val="1"/>
      </w:numPr>
      <w:spacing w:before="0" w:after="240"/>
      <w:outlineLvl w:val="8"/>
    </w:pPr>
    <w:rPr>
      <w:rFonts w:cs="Times New Roman"/>
      <w:szCs w:val="20"/>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6z0">
    <w:name w:val="WW8Num16z0"/>
    <w:qFormat/>
    <w:rPr/>
  </w:style>
  <w:style w:type="character" w:styleId="WW8Num16z8">
    <w:name w:val="WW8Num16z8"/>
    <w:qFormat/>
    <w:rPr>
      <w:rFonts w:ascii="Symbol" w:hAnsi="Symbol" w:cs="Symbol"/>
      <w:color w:val="000000"/>
    </w:rPr>
  </w:style>
  <w:style w:type="character" w:styleId="WW8Num17z0">
    <w:name w:val="WW8Num17z0"/>
    <w:qFormat/>
    <w:rPr>
      <w:b w:val="false"/>
      <w:i w:val="false"/>
      <w:caps w:val="false"/>
      <w:smallCaps w:val="false"/>
      <w:strike w:val="false"/>
      <w:dstrike w:val="false"/>
      <w:outline w:val="false"/>
      <w:shadow w:val="false"/>
      <w:vanish w:val="false"/>
      <w:color w:val="auto"/>
      <w:spacing w:val="0"/>
      <w:w w:val="100"/>
      <w:kern w:val="0"/>
      <w:position w:val="0"/>
      <w:sz w:val="24"/>
      <w:u w:val="none"/>
      <w:vertAlign w:val="baseline"/>
    </w:rPr>
  </w:style>
  <w:style w:type="character" w:styleId="WW8Num19z0">
    <w:name w:val="WW8Num19z0"/>
    <w:qFormat/>
    <w:rPr>
      <w:rFonts w:ascii="Symbol" w:hAnsi="Symbol" w:cs="Symbol"/>
    </w:rPr>
  </w:style>
  <w:style w:type="character" w:styleId="DefaultParagraphFont">
    <w:name w:val="Default Paragraph Font"/>
    <w:qFormat/>
    <w:rPr/>
  </w:style>
  <w:style w:type="character" w:styleId="VEBoldItalic">
    <w:name w:val="VE Bold Italic"/>
    <w:basedOn w:val="DefaultParagraphFont"/>
    <w:qFormat/>
    <w:rPr>
      <w:b/>
      <w:i/>
    </w:rPr>
  </w:style>
  <w:style w:type="character" w:styleId="VEBoldUnderlineItalic">
    <w:name w:val="VE Bold Underline Italic"/>
    <w:basedOn w:val="DefaultParagraphFont"/>
    <w:qFormat/>
    <w:rPr>
      <w:b/>
      <w:i/>
      <w:u w:val="single"/>
    </w:rPr>
  </w:style>
  <w:style w:type="character" w:styleId="VEBoldUnderline">
    <w:name w:val="VE Bold Underline"/>
    <w:basedOn w:val="DefaultParagraphFont"/>
    <w:qFormat/>
    <w:rPr>
      <w:b/>
      <w:u w:val="single"/>
    </w:rPr>
  </w:style>
  <w:style w:type="character" w:styleId="VEBold">
    <w:name w:val="VE Bold"/>
    <w:basedOn w:val="DefaultParagraphFont"/>
    <w:qFormat/>
    <w:rPr>
      <w:b/>
    </w:rPr>
  </w:style>
  <w:style w:type="character" w:styleId="VEDoubleUnderline">
    <w:name w:val="VE Double Underline"/>
    <w:basedOn w:val="DefaultParagraphFont"/>
    <w:qFormat/>
    <w:rPr>
      <w:u w:val="double"/>
    </w:rPr>
  </w:style>
  <w:style w:type="character" w:styleId="VEItalic">
    <w:name w:val="VE Italic"/>
    <w:basedOn w:val="DefaultParagraphFont"/>
    <w:qFormat/>
    <w:rPr>
      <w:i/>
    </w:rPr>
  </w:style>
  <w:style w:type="character" w:styleId="VESmallCap">
    <w:name w:val="VE Small Cap"/>
    <w:basedOn w:val="DefaultParagraphFont"/>
    <w:qFormat/>
    <w:rPr>
      <w:smallCaps/>
      <w:strike w:val="false"/>
      <w:dstrike w:val="false"/>
      <w:position w:val="0"/>
      <w:sz w:val="24"/>
      <w:vertAlign w:val="baseline"/>
    </w:rPr>
  </w:style>
  <w:style w:type="character" w:styleId="VEUnderlineItalic">
    <w:name w:val="VE Underline Italic"/>
    <w:basedOn w:val="DefaultParagraphFont"/>
    <w:qFormat/>
    <w:rPr>
      <w:i/>
      <w:u w:val="single"/>
    </w:rPr>
  </w:style>
  <w:style w:type="character" w:styleId="VEUnderline">
    <w:name w:val="VE Underline"/>
    <w:basedOn w:val="DefaultParagraphFont"/>
    <w:qFormat/>
    <w:rPr>
      <w:u w:val="single"/>
    </w:rPr>
  </w:style>
  <w:style w:type="character" w:styleId="VEUnderlineWords">
    <w:name w:val="VE Underline Words"/>
    <w:basedOn w:val="DefaultParagraphFont"/>
    <w:qFormat/>
    <w:rPr>
      <w:u w:val="single"/>
    </w:rPr>
  </w:style>
  <w:style w:type="character" w:styleId="VEDocumentInformation">
    <w:name w:val="VE Document Information"/>
    <w:basedOn w:val="DefaultParagraphFont"/>
    <w:qFormat/>
    <w:rPr>
      <w:sz w:val="16"/>
    </w:rPr>
  </w:style>
  <w:style w:type="character" w:styleId="VECaption">
    <w:name w:val="VE Caption"/>
    <w:basedOn w:val="DefaultParagraphFont"/>
    <w:qFormat/>
    <w:rPr>
      <w:i/>
    </w:rPr>
  </w:style>
  <w:style w:type="character" w:styleId="VEDefinitions">
    <w:name w:val="VE Definitions"/>
    <w:basedOn w:val="DefaultParagraphFont"/>
    <w:qFormat/>
    <w:rPr>
      <w:b/>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VENormal">
    <w:name w:val="VE Normal"/>
    <w:basedOn w:val="Normal"/>
    <w:qFormat/>
    <w:pPr>
      <w:jc w:val="both"/>
    </w:pPr>
    <w:rPr>
      <w:rFonts w:cs="Arial"/>
    </w:rPr>
  </w:style>
  <w:style w:type="paragraph" w:styleId="VE123List">
    <w:name w:val="VE 123 List"/>
    <w:basedOn w:val="VENormal"/>
    <w:qFormat/>
    <w:pPr>
      <w:numPr>
        <w:ilvl w:val="0"/>
        <w:numId w:val="3"/>
      </w:numPr>
      <w:tabs>
        <w:tab w:val="clear" w:pos="720"/>
      </w:tabs>
      <w:spacing w:before="0" w:after="240"/>
    </w:pPr>
    <w:rPr/>
  </w:style>
  <w:style w:type="paragraph" w:styleId="VEABCList">
    <w:name w:val="VE ABC List"/>
    <w:basedOn w:val="VENormal"/>
    <w:qFormat/>
    <w:pPr>
      <w:numPr>
        <w:ilvl w:val="0"/>
        <w:numId w:val="6"/>
      </w:numPr>
      <w:tabs>
        <w:tab w:val="clear" w:pos="720"/>
      </w:tabs>
      <w:spacing w:before="0" w:after="240"/>
    </w:pPr>
    <w:rPr/>
  </w:style>
  <w:style w:type="paragraph" w:styleId="VEAlignedText">
    <w:name w:val="VE Aligned Text"/>
    <w:basedOn w:val="VENormal"/>
    <w:qFormat/>
    <w:pPr>
      <w:tabs>
        <w:tab w:val="clear" w:pos="720"/>
        <w:tab w:val="center" w:pos="4680" w:leader="none"/>
        <w:tab w:val="right" w:pos="9360" w:leader="none"/>
      </w:tabs>
    </w:pPr>
    <w:rPr/>
  </w:style>
  <w:style w:type="paragraph" w:styleId="VEBodyText1">
    <w:name w:val="VE Body Text 1"/>
    <w:basedOn w:val="VENormal"/>
    <w:qFormat/>
    <w:pPr>
      <w:spacing w:before="0" w:after="240"/>
    </w:pPr>
    <w:rPr/>
  </w:style>
  <w:style w:type="paragraph" w:styleId="VEBodyText2">
    <w:name w:val="VE Body Text 2"/>
    <w:basedOn w:val="VENormal"/>
    <w:qFormat/>
    <w:pPr>
      <w:spacing w:before="0" w:after="240"/>
    </w:pPr>
    <w:rPr/>
  </w:style>
  <w:style w:type="paragraph" w:styleId="VEBodyText3">
    <w:name w:val="VE Body Text 3"/>
    <w:basedOn w:val="VENormal"/>
    <w:qFormat/>
    <w:pPr>
      <w:spacing w:before="0" w:after="240"/>
    </w:pPr>
    <w:rPr/>
  </w:style>
  <w:style w:type="paragraph" w:styleId="VEBodyText4">
    <w:name w:val="VE Body Text 4"/>
    <w:basedOn w:val="VENormal"/>
    <w:qFormat/>
    <w:pPr>
      <w:spacing w:before="0" w:after="240"/>
    </w:pPr>
    <w:rPr/>
  </w:style>
  <w:style w:type="paragraph" w:styleId="VEBodyText5">
    <w:name w:val="VE Body Text 5"/>
    <w:basedOn w:val="VENormal"/>
    <w:qFormat/>
    <w:pPr>
      <w:spacing w:before="0" w:after="240"/>
    </w:pPr>
    <w:rPr/>
  </w:style>
  <w:style w:type="paragraph" w:styleId="VEBodyText6">
    <w:name w:val="VE Body Text 6"/>
    <w:basedOn w:val="VENormal"/>
    <w:qFormat/>
    <w:pPr>
      <w:spacing w:before="0" w:after="240"/>
    </w:pPr>
    <w:rPr/>
  </w:style>
  <w:style w:type="paragraph" w:styleId="VEBodyText7">
    <w:name w:val="VE Body Text 7"/>
    <w:basedOn w:val="VENormal"/>
    <w:qFormat/>
    <w:pPr>
      <w:spacing w:before="0" w:after="240"/>
    </w:pPr>
    <w:rPr/>
  </w:style>
  <w:style w:type="paragraph" w:styleId="VEBodyText8">
    <w:name w:val="VE Body Text 8"/>
    <w:basedOn w:val="VENormal"/>
    <w:qFormat/>
    <w:pPr>
      <w:spacing w:before="0" w:after="240"/>
    </w:pPr>
    <w:rPr/>
  </w:style>
  <w:style w:type="paragraph" w:styleId="VEBodyText9">
    <w:name w:val="VE Body Text 9"/>
    <w:basedOn w:val="VENormal"/>
    <w:qFormat/>
    <w:pPr>
      <w:spacing w:before="0" w:after="240"/>
    </w:pPr>
    <w:rPr/>
  </w:style>
  <w:style w:type="paragraph" w:styleId="VEBodyTextDoubleFLI">
    <w:name w:val="VE Body Text Double FLI"/>
    <w:basedOn w:val="VENormal"/>
    <w:qFormat/>
    <w:pPr>
      <w:spacing w:lineRule="auto" w:line="480" w:before="0" w:after="240"/>
      <w:ind w:firstLine="720" w:start="0" w:end="0"/>
    </w:pPr>
    <w:rPr/>
  </w:style>
  <w:style w:type="paragraph" w:styleId="VEBodyTextDouble">
    <w:name w:val="VE Body Text Double"/>
    <w:basedOn w:val="VENormal"/>
    <w:qFormat/>
    <w:pPr>
      <w:spacing w:lineRule="auto" w:line="480" w:before="0" w:after="240"/>
    </w:pPr>
    <w:rPr/>
  </w:style>
  <w:style w:type="paragraph" w:styleId="VEBodyTextFLI1">
    <w:name w:val="VE Body Text FLI 1"/>
    <w:basedOn w:val="VENormal"/>
    <w:qFormat/>
    <w:pPr>
      <w:spacing w:before="0" w:after="240"/>
      <w:ind w:firstLine="1440" w:start="0" w:end="0"/>
    </w:pPr>
    <w:rPr/>
  </w:style>
  <w:style w:type="paragraph" w:styleId="VEBodyTextFLI">
    <w:name w:val="VE Body Text FLI"/>
    <w:basedOn w:val="VENormal"/>
    <w:qFormat/>
    <w:pPr>
      <w:spacing w:before="0" w:after="240"/>
      <w:ind w:firstLine="720" w:start="0" w:end="720"/>
    </w:pPr>
    <w:rPr>
      <w:szCs w:val="20"/>
    </w:rPr>
  </w:style>
  <w:style w:type="paragraph" w:styleId="VEBodyTextLeftIndent5">
    <w:name w:val="VE Body Text Left Indent .5"/>
    <w:basedOn w:val="VENormal"/>
    <w:qFormat/>
    <w:pPr>
      <w:spacing w:before="0" w:after="240"/>
      <w:ind w:hanging="0" w:start="720" w:end="0"/>
    </w:pPr>
    <w:rPr/>
  </w:style>
  <w:style w:type="paragraph" w:styleId="VEBodyTextLeftIndent1">
    <w:name w:val="VE Body Text Left Indent 1"/>
    <w:basedOn w:val="VENormal"/>
    <w:qFormat/>
    <w:pPr>
      <w:spacing w:before="0" w:after="240"/>
      <w:ind w:hanging="0" w:start="1440" w:end="0"/>
    </w:pPr>
    <w:rPr/>
  </w:style>
  <w:style w:type="paragraph" w:styleId="VEBodyTextNoSpace">
    <w:name w:val="VE Body Text No Space"/>
    <w:basedOn w:val="VENormal"/>
    <w:qFormat/>
    <w:pPr/>
    <w:rPr/>
  </w:style>
  <w:style w:type="paragraph" w:styleId="VEBodyTextQuote5">
    <w:name w:val="VE Body Text Quote .5"/>
    <w:basedOn w:val="VENormal"/>
    <w:qFormat/>
    <w:pPr>
      <w:spacing w:before="0" w:after="240"/>
      <w:ind w:hanging="0" w:start="720" w:end="720"/>
    </w:pPr>
    <w:rPr/>
  </w:style>
  <w:style w:type="paragraph" w:styleId="VEBodyTextQuote1">
    <w:name w:val="VE Body Text Quote 1"/>
    <w:basedOn w:val="VENormal"/>
    <w:qFormat/>
    <w:pPr>
      <w:spacing w:before="0" w:after="240"/>
      <w:ind w:hanging="0" w:start="1440" w:end="1440"/>
    </w:pPr>
    <w:rPr/>
  </w:style>
  <w:style w:type="paragraph" w:styleId="VEBodyText">
    <w:name w:val="VE Body Text"/>
    <w:basedOn w:val="VENormal"/>
    <w:qFormat/>
    <w:pPr>
      <w:spacing w:before="0" w:after="240"/>
    </w:pPr>
    <w:rPr/>
  </w:style>
  <w:style w:type="paragraph" w:styleId="VEBulletList">
    <w:name w:val="VE Bullet List"/>
    <w:basedOn w:val="VENormal"/>
    <w:qFormat/>
    <w:pPr>
      <w:numPr>
        <w:ilvl w:val="0"/>
        <w:numId w:val="9"/>
      </w:numPr>
      <w:tabs>
        <w:tab w:val="clear" w:pos="720"/>
      </w:tabs>
      <w:spacing w:before="0" w:after="240"/>
    </w:pPr>
    <w:rPr/>
  </w:style>
  <w:style w:type="paragraph" w:styleId="VECenteredText">
    <w:name w:val="VE Centered Text"/>
    <w:basedOn w:val="VENormal"/>
    <w:next w:val="VEBodyText"/>
    <w:qFormat/>
    <w:pPr>
      <w:spacing w:before="0" w:after="240"/>
      <w:jc w:val="center"/>
    </w:pPr>
    <w:rPr/>
  </w:style>
  <w:style w:type="paragraph" w:styleId="VEHangingIndent">
    <w:name w:val="VE Hanging Indent"/>
    <w:basedOn w:val="VENormal"/>
    <w:qFormat/>
    <w:pPr>
      <w:spacing w:before="0" w:after="240"/>
      <w:ind w:hanging="720" w:start="720" w:end="0"/>
    </w:pPr>
    <w:rPr/>
  </w:style>
  <w:style w:type="paragraph" w:styleId="VEHeading1">
    <w:name w:val="VE Heading 1"/>
    <w:basedOn w:val="VENormal"/>
    <w:next w:val="VEBodyText1"/>
    <w:qFormat/>
    <w:pPr>
      <w:keepNext w:val="true"/>
      <w:spacing w:before="0" w:after="240"/>
      <w:outlineLvl w:val="0"/>
    </w:pPr>
    <w:rPr>
      <w:b/>
      <w:bCs/>
    </w:rPr>
  </w:style>
  <w:style w:type="paragraph" w:styleId="VEHeading2">
    <w:name w:val="VE Heading 2"/>
    <w:basedOn w:val="VENormal"/>
    <w:next w:val="VEBodyText2"/>
    <w:qFormat/>
    <w:pPr>
      <w:keepNext w:val="true"/>
      <w:spacing w:before="0" w:after="240"/>
      <w:ind w:hanging="0" w:start="720" w:end="0"/>
      <w:outlineLvl w:val="1"/>
    </w:pPr>
    <w:rPr/>
  </w:style>
  <w:style w:type="paragraph" w:styleId="VEHeading3">
    <w:name w:val="VE Heading 3"/>
    <w:basedOn w:val="VENormal"/>
    <w:next w:val="VEBodyText3"/>
    <w:qFormat/>
    <w:pPr>
      <w:keepNext w:val="true"/>
      <w:spacing w:before="0" w:after="240"/>
      <w:ind w:hanging="0" w:start="1440" w:end="0"/>
      <w:outlineLvl w:val="2"/>
    </w:pPr>
    <w:rPr/>
  </w:style>
  <w:style w:type="paragraph" w:styleId="VEHeading4">
    <w:name w:val="VE Heading 4"/>
    <w:basedOn w:val="VENormal"/>
    <w:next w:val="VEBodyText4"/>
    <w:qFormat/>
    <w:pPr>
      <w:keepNext w:val="true"/>
      <w:spacing w:before="0" w:after="240"/>
      <w:ind w:hanging="0" w:start="2160" w:end="0"/>
      <w:outlineLvl w:val="3"/>
    </w:pPr>
    <w:rPr/>
  </w:style>
  <w:style w:type="paragraph" w:styleId="VELeftIndentHanging">
    <w:name w:val="VE Left Indent Hanging"/>
    <w:basedOn w:val="VENormal"/>
    <w:qFormat/>
    <w:pPr>
      <w:spacing w:before="0" w:after="240"/>
      <w:ind w:hanging="720" w:start="1440" w:end="0"/>
    </w:pPr>
    <w:rPr/>
  </w:style>
  <w:style w:type="paragraph" w:styleId="VENumbered1">
    <w:name w:val="VE Numbered 1"/>
    <w:basedOn w:val="VENormal"/>
    <w:next w:val="VEBodyTextFLI"/>
    <w:qFormat/>
    <w:pPr>
      <w:numPr>
        <w:ilvl w:val="0"/>
        <w:numId w:val="8"/>
      </w:numPr>
      <w:spacing w:before="0" w:after="240"/>
      <w:outlineLvl w:val="0"/>
    </w:pPr>
    <w:rPr>
      <w:bCs/>
    </w:rPr>
  </w:style>
  <w:style w:type="paragraph" w:styleId="VENumbered2">
    <w:name w:val="VE Numbered 2"/>
    <w:basedOn w:val="VENormal"/>
    <w:next w:val="VEBodyTextFLI"/>
    <w:qFormat/>
    <w:pPr>
      <w:numPr>
        <w:ilvl w:val="0"/>
        <w:numId w:val="8"/>
      </w:numPr>
      <w:spacing w:before="0" w:after="240"/>
      <w:outlineLvl w:val="1"/>
    </w:pPr>
    <w:rPr/>
  </w:style>
  <w:style w:type="paragraph" w:styleId="VENumbered3">
    <w:name w:val="VE Numbered 3"/>
    <w:basedOn w:val="VENormal"/>
    <w:next w:val="VEBodyTextFLI"/>
    <w:qFormat/>
    <w:pPr>
      <w:numPr>
        <w:ilvl w:val="0"/>
        <w:numId w:val="8"/>
      </w:numPr>
      <w:spacing w:before="0" w:after="240"/>
      <w:outlineLvl w:val="2"/>
    </w:pPr>
    <w:rPr/>
  </w:style>
  <w:style w:type="paragraph" w:styleId="VENumbered4">
    <w:name w:val="VE Numbered 4"/>
    <w:basedOn w:val="VENormal"/>
    <w:next w:val="VEBodyTextFLI"/>
    <w:qFormat/>
    <w:pPr>
      <w:numPr>
        <w:ilvl w:val="0"/>
        <w:numId w:val="8"/>
      </w:numPr>
      <w:spacing w:before="0" w:after="240"/>
      <w:outlineLvl w:val="3"/>
    </w:pPr>
    <w:rPr/>
  </w:style>
  <w:style w:type="paragraph" w:styleId="VENumbered5">
    <w:name w:val="VE Numbered 5"/>
    <w:basedOn w:val="VENormal"/>
    <w:next w:val="VEBodyTextFLI"/>
    <w:qFormat/>
    <w:pPr>
      <w:numPr>
        <w:ilvl w:val="0"/>
        <w:numId w:val="8"/>
      </w:numPr>
      <w:spacing w:before="0" w:after="240"/>
      <w:outlineLvl w:val="4"/>
    </w:pPr>
    <w:rPr/>
  </w:style>
  <w:style w:type="paragraph" w:styleId="VENumbered6">
    <w:name w:val="VE Numbered 6"/>
    <w:basedOn w:val="VENormal"/>
    <w:next w:val="VEBodyTextFLI"/>
    <w:qFormat/>
    <w:pPr>
      <w:numPr>
        <w:ilvl w:val="0"/>
        <w:numId w:val="8"/>
      </w:numPr>
      <w:spacing w:before="0" w:after="240"/>
      <w:outlineLvl w:val="5"/>
    </w:pPr>
    <w:rPr/>
  </w:style>
  <w:style w:type="paragraph" w:styleId="VENumbered7">
    <w:name w:val="VE Numbered 7"/>
    <w:basedOn w:val="VENormal"/>
    <w:next w:val="VEBodyTextFLI"/>
    <w:qFormat/>
    <w:pPr>
      <w:numPr>
        <w:ilvl w:val="0"/>
        <w:numId w:val="8"/>
      </w:numPr>
      <w:spacing w:before="0" w:after="240"/>
      <w:outlineLvl w:val="6"/>
    </w:pPr>
    <w:rPr/>
  </w:style>
  <w:style w:type="paragraph" w:styleId="VENumbered8">
    <w:name w:val="VE Numbered 8"/>
    <w:basedOn w:val="VENormal"/>
    <w:next w:val="VEBodyTextFLI"/>
    <w:qFormat/>
    <w:pPr>
      <w:numPr>
        <w:ilvl w:val="0"/>
        <w:numId w:val="8"/>
      </w:numPr>
      <w:spacing w:before="0" w:after="240"/>
      <w:outlineLvl w:val="7"/>
    </w:pPr>
    <w:rPr/>
  </w:style>
  <w:style w:type="paragraph" w:styleId="VENumbered9">
    <w:name w:val="VE Numbered 9"/>
    <w:basedOn w:val="VENormal"/>
    <w:next w:val="VEBodyTextFLI"/>
    <w:qFormat/>
    <w:pPr>
      <w:numPr>
        <w:ilvl w:val="0"/>
        <w:numId w:val="8"/>
      </w:numPr>
      <w:spacing w:before="0" w:after="240"/>
      <w:outlineLvl w:val="8"/>
    </w:pPr>
    <w:rPr/>
  </w:style>
  <w:style w:type="paragraph" w:styleId="VERightAlign">
    <w:name w:val="VE Right Align"/>
    <w:basedOn w:val="VENormal"/>
    <w:next w:val="VEBodyText"/>
    <w:qFormat/>
    <w:pPr>
      <w:tabs>
        <w:tab w:val="clear" w:pos="720"/>
        <w:tab w:val="right" w:pos="9360" w:leader="none"/>
      </w:tabs>
      <w:spacing w:before="0" w:after="240"/>
      <w:jc w:val="end"/>
    </w:pPr>
    <w:rPr/>
  </w:style>
  <w:style w:type="paragraph" w:styleId="BodyTextFirstIndent">
    <w:name w:val="Body Text First Indent"/>
    <w:basedOn w:val="BodyText"/>
    <w:qFormat/>
    <w:pPr>
      <w:spacing w:before="0" w:after="240"/>
      <w:ind w:firstLine="1440" w:start="0" w:end="0"/>
    </w:pPr>
    <w:rPr>
      <w:rFonts w:cs="Times New Roman"/>
      <w:szCs w:val="20"/>
    </w:rPr>
  </w:style>
  <w:style w:type="paragraph" w:styleId="ListNumber3">
    <w:name w:val="List Number 3"/>
    <w:basedOn w:val="Normal"/>
    <w:qFormat/>
    <w:pPr>
      <w:numPr>
        <w:ilvl w:val="0"/>
        <w:numId w:val="2"/>
      </w:numPr>
      <w:spacing w:before="0" w:after="240"/>
    </w:pPr>
    <w:rPr>
      <w:rFonts w:cs="Times New Roman"/>
      <w:szCs w:val="20"/>
    </w:rPr>
  </w:style>
  <w:style w:type="paragraph" w:styleId="VESubHeading">
    <w:name w:val="VE Sub Heading"/>
    <w:basedOn w:val="VENormal"/>
    <w:next w:val="VEBodyText"/>
    <w:qFormat/>
    <w:pPr>
      <w:spacing w:before="0" w:after="240"/>
    </w:pPr>
    <w:rPr>
      <w:szCs w:val="20"/>
    </w:rPr>
  </w:style>
  <w:style w:type="paragraph" w:styleId="VESubTitle">
    <w:name w:val="VE Sub Title"/>
    <w:basedOn w:val="VENormal"/>
    <w:next w:val="VEBodyText"/>
    <w:qFormat/>
    <w:pPr>
      <w:keepNext w:val="true"/>
      <w:spacing w:before="0" w:after="240"/>
      <w:jc w:val="center"/>
    </w:pPr>
    <w:rPr>
      <w:b/>
      <w:bCs/>
    </w:rPr>
  </w:style>
  <w:style w:type="paragraph" w:styleId="VETable123">
    <w:name w:val="VE Table 123"/>
    <w:basedOn w:val="VENormal"/>
    <w:qFormat/>
    <w:pPr>
      <w:numPr>
        <w:ilvl w:val="0"/>
        <w:numId w:val="4"/>
      </w:numPr>
      <w:tabs>
        <w:tab w:val="clear" w:pos="720"/>
      </w:tabs>
    </w:pPr>
    <w:rPr/>
  </w:style>
  <w:style w:type="paragraph" w:styleId="VETableABC">
    <w:name w:val="VE Table ABC"/>
    <w:basedOn w:val="VENormal"/>
    <w:qFormat/>
    <w:pPr>
      <w:numPr>
        <w:ilvl w:val="0"/>
        <w:numId w:val="5"/>
      </w:numPr>
      <w:tabs>
        <w:tab w:val="clear" w:pos="720"/>
      </w:tabs>
    </w:pPr>
    <w:rPr/>
  </w:style>
  <w:style w:type="paragraph" w:styleId="VETableHeading">
    <w:name w:val="VE Table Heading"/>
    <w:basedOn w:val="VENormal"/>
    <w:qFormat/>
    <w:pPr>
      <w:keepNext w:val="true"/>
      <w:spacing w:before="0" w:after="240"/>
      <w:jc w:val="start"/>
    </w:pPr>
    <w:rPr/>
  </w:style>
  <w:style w:type="paragraph" w:styleId="VETableText">
    <w:name w:val="VE Table Text"/>
    <w:basedOn w:val="VEBodyTextNoSpace"/>
    <w:next w:val="VEBodyText"/>
    <w:qFormat/>
    <w:pPr>
      <w:jc w:val="start"/>
    </w:pPr>
    <w:rPr/>
  </w:style>
  <w:style w:type="paragraph" w:styleId="VETitleBoldCenterUnderline">
    <w:name w:val="VE Title Bold Center Underline"/>
    <w:basedOn w:val="VENormal"/>
    <w:next w:val="VESubTitle"/>
    <w:qFormat/>
    <w:pPr>
      <w:keepNext w:val="true"/>
      <w:spacing w:before="0" w:after="240"/>
      <w:jc w:val="center"/>
    </w:pPr>
    <w:rPr>
      <w:b/>
      <w:u w:val="single"/>
    </w:rPr>
  </w:style>
  <w:style w:type="paragraph" w:styleId="VETitleBoldCenter">
    <w:name w:val="VE Title Bold Center"/>
    <w:basedOn w:val="VENormal"/>
    <w:next w:val="VESubTitle"/>
    <w:qFormat/>
    <w:pPr>
      <w:keepNext w:val="true"/>
      <w:spacing w:before="0" w:after="240"/>
      <w:jc w:val="center"/>
    </w:pPr>
    <w:rPr>
      <w:b/>
      <w:bCs/>
    </w:rPr>
  </w:style>
  <w:style w:type="paragraph" w:styleId="VETitleUnderlineCenter">
    <w:name w:val="VE Title Underline Center"/>
    <w:basedOn w:val="VENormal"/>
    <w:next w:val="VESubTitle"/>
    <w:qFormat/>
    <w:pPr>
      <w:keepNext w:val="true"/>
      <w:spacing w:before="0" w:after="240"/>
      <w:jc w:val="center"/>
    </w:pPr>
    <w:rPr>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VEBodyTextFLI15">
    <w:name w:val="VE Body Text FLI 1.5"/>
    <w:basedOn w:val="VENormal"/>
    <w:qFormat/>
    <w:pPr>
      <w:spacing w:before="0" w:after="240"/>
      <w:ind w:firstLine="2160" w:start="0" w:end="0"/>
    </w:pPr>
    <w:rPr/>
  </w:style>
  <w:style w:type="paragraph" w:styleId="VEInsideAddress">
    <w:name w:val="VE Inside Address"/>
    <w:basedOn w:val="VENormal"/>
    <w:qFormat/>
    <w:pPr>
      <w:spacing w:before="0" w:after="240"/>
      <w:jc w:val="start"/>
    </w:pPr>
    <w:rPr/>
  </w:style>
  <w:style w:type="paragraph" w:styleId="VEInsideAddressNS">
    <w:name w:val="VE Inside Address NS"/>
    <w:basedOn w:val="VENormal"/>
    <w:qFormat/>
    <w:pPr>
      <w:jc w:val="start"/>
    </w:pPr>
    <w:rPr/>
  </w:style>
  <w:style w:type="paragraph" w:styleId="VEBodyTextFLI2">
    <w:name w:val="VE Body Text FLI 2"/>
    <w:basedOn w:val="VENormal"/>
    <w:qFormat/>
    <w:pPr>
      <w:spacing w:before="0" w:after="240"/>
      <w:ind w:firstLine="2880" w:start="0" w:end="0"/>
    </w:pPr>
    <w:rPr/>
  </w:style>
  <w:style w:type="paragraph" w:styleId="VESchedule1">
    <w:name w:val="VE Schedule 1"/>
    <w:basedOn w:val="VENormal"/>
    <w:next w:val="VEBodyTextFLI"/>
    <w:qFormat/>
    <w:pPr>
      <w:numPr>
        <w:ilvl w:val="0"/>
        <w:numId w:val="7"/>
      </w:numPr>
      <w:spacing w:before="0" w:after="240"/>
      <w:ind w:hanging="0" w:start="0" w:end="0"/>
      <w:jc w:val="start"/>
    </w:pPr>
    <w:rPr/>
  </w:style>
  <w:style w:type="paragraph" w:styleId="VESchedule2">
    <w:name w:val="VE Schedule 2"/>
    <w:basedOn w:val="VENormal"/>
    <w:next w:val="VEBodyTextFLI"/>
    <w:qFormat/>
    <w:pPr>
      <w:numPr>
        <w:ilvl w:val="0"/>
        <w:numId w:val="7"/>
      </w:numPr>
      <w:tabs>
        <w:tab w:val="clear" w:pos="720"/>
      </w:tabs>
      <w:spacing w:before="0" w:after="240"/>
      <w:ind w:hanging="0" w:start="0" w:end="0"/>
    </w:pPr>
    <w:rPr/>
  </w:style>
  <w:style w:type="paragraph" w:styleId="VESchedule3">
    <w:name w:val="VE Schedule 3"/>
    <w:basedOn w:val="VENormal"/>
    <w:next w:val="VEBodyTextFLI"/>
    <w:qFormat/>
    <w:pPr>
      <w:numPr>
        <w:ilvl w:val="0"/>
        <w:numId w:val="7"/>
      </w:numPr>
      <w:tabs>
        <w:tab w:val="clear" w:pos="720"/>
      </w:tabs>
      <w:spacing w:before="0" w:after="240"/>
      <w:ind w:hanging="0" w:start="0" w:end="0"/>
    </w:pPr>
    <w:rPr/>
  </w:style>
  <w:style w:type="paragraph" w:styleId="VESchedule4">
    <w:name w:val="VE Schedule 4"/>
    <w:basedOn w:val="VENormal"/>
    <w:next w:val="VEBodyTextFLI"/>
    <w:qFormat/>
    <w:pPr>
      <w:numPr>
        <w:ilvl w:val="0"/>
        <w:numId w:val="7"/>
      </w:numPr>
      <w:tabs>
        <w:tab w:val="clear" w:pos="720"/>
      </w:tabs>
      <w:spacing w:before="0" w:after="240"/>
      <w:ind w:hanging="0" w:start="0" w:end="0"/>
    </w:pPr>
    <w:rPr/>
  </w:style>
  <w:style w:type="paragraph" w:styleId="VEScheduleText1">
    <w:name w:val="VE Schedule Text 1"/>
    <w:basedOn w:val="VENormal"/>
    <w:qFormat/>
    <w:pPr>
      <w:spacing w:before="0" w:after="240"/>
    </w:pPr>
    <w:rPr/>
  </w:style>
  <w:style w:type="paragraph" w:styleId="VEScheduleText2">
    <w:name w:val="VE Schedule Text 2"/>
    <w:basedOn w:val="VENormal"/>
    <w:qFormat/>
    <w:pPr>
      <w:spacing w:before="0" w:after="240"/>
    </w:pPr>
    <w:rPr/>
  </w:style>
  <w:style w:type="paragraph" w:styleId="VEScheduleText3">
    <w:name w:val="VE Schedule Text 3"/>
    <w:basedOn w:val="VENormal"/>
    <w:qFormat/>
    <w:pPr>
      <w:spacing w:before="0" w:after="240"/>
    </w:pPr>
    <w:rPr/>
  </w:style>
  <w:style w:type="paragraph" w:styleId="VEScheduleText4">
    <w:name w:val="VE Schedule Text 4"/>
    <w:basedOn w:val="VENormal"/>
    <w:qFormat/>
    <w:pPr>
      <w:spacing w:before="0" w:after="240"/>
    </w:pPr>
    <w:rPr/>
  </w:style>
  <w:style w:type="paragraph" w:styleId="VESigBlockBoth">
    <w:name w:val="VE Sig Block Both"/>
    <w:basedOn w:val="VENormal"/>
    <w:qFormat/>
    <w:pPr>
      <w:keepNext w:val="true"/>
      <w:tabs>
        <w:tab w:val="clear" w:pos="720"/>
        <w:tab w:val="left" w:pos="1080" w:leader="none"/>
        <w:tab w:val="right" w:pos="4320" w:leader="underscore"/>
        <w:tab w:val="left" w:pos="5040" w:leader="none"/>
        <w:tab w:val="left" w:pos="6120" w:leader="none"/>
        <w:tab w:val="right" w:pos="9360" w:leader="underscore"/>
      </w:tabs>
      <w:jc w:val="start"/>
    </w:pPr>
    <w:rPr/>
  </w:style>
  <w:style w:type="paragraph" w:styleId="VESigBlockLeft">
    <w:name w:val="VE Sig Block Left"/>
    <w:basedOn w:val="VENormal"/>
    <w:qFormat/>
    <w:pPr>
      <w:tabs>
        <w:tab w:val="clear" w:pos="720"/>
        <w:tab w:val="left" w:pos="1080" w:leader="none"/>
        <w:tab w:val="right" w:pos="4320" w:leader="underscore"/>
      </w:tabs>
    </w:pPr>
    <w:rPr/>
  </w:style>
  <w:style w:type="paragraph" w:styleId="VESigBlockRight">
    <w:name w:val="VE Sig Block Right"/>
    <w:basedOn w:val="VENormal"/>
    <w:qFormat/>
    <w:pPr>
      <w:tabs>
        <w:tab w:val="clear" w:pos="720"/>
        <w:tab w:val="left" w:pos="4320" w:leader="none"/>
        <w:tab w:val="left" w:pos="5400" w:leader="none"/>
        <w:tab w:val="right" w:pos="9360" w:leader="underscore"/>
      </w:tabs>
    </w:pPr>
    <w:rPr/>
  </w:style>
  <w:style w:type="paragraph" w:styleId="VESigBlockText">
    <w:name w:val="VE Sig Block Text"/>
    <w:basedOn w:val="VENormal"/>
    <w:qFormat/>
    <w:pPr>
      <w:tabs>
        <w:tab w:val="clear" w:pos="720"/>
        <w:tab w:val="left" w:pos="1080" w:leader="none"/>
        <w:tab w:val="left" w:pos="6120" w:leader="none"/>
        <w:tab w:val="right" w:pos="9360" w:leader="none"/>
      </w:tabs>
      <w:jc w:val="start"/>
    </w:pPr>
    <w:rPr/>
  </w:style>
  <w:style w:type="paragraph" w:styleId="VETitleBoldCenterItalic">
    <w:name w:val="VE Title Bold Center Italic"/>
    <w:basedOn w:val="VENormal"/>
    <w:next w:val="VESubTitle"/>
    <w:qFormat/>
    <w:pPr>
      <w:jc w:val="center"/>
    </w:pPr>
    <w:rPr>
      <w:b/>
      <w:i/>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2001-10-24T11:44:00Z</dcterms:created>
  <dc:creator> </dc:creator>
  <dc:description/>
  <dc:language>en-CA</dc:language>
  <cp:lastModifiedBy>Lisa M. Kumbalek</cp:lastModifiedBy>
  <cp:lastPrinted>2001-10-23T14:29:00Z</cp:lastPrinted>
  <dcterms:modified xsi:type="dcterms:W3CDTF">2001-10-24T11:48:00Z</dcterms:modified>
  <cp:revision>4</cp:revision>
  <dc:subject/>
  <dc:title>AMENDMENT NO</dc:title>
</cp:coreProperties>
</file>