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ind w:end="180"/>
        <w:jc w:val="center"/>
        <w:rPr>
          <w:b/>
          <w:sz w:val="22"/>
          <w:u w:val="single"/>
        </w:rPr>
      </w:pPr>
      <w:r>
        <w:rPr>
          <w:b/>
          <w:sz w:val="22"/>
          <w:u w:val="single"/>
        </w:rPr>
      </w:r>
    </w:p>
    <w:p>
      <w:pPr>
        <w:pStyle w:val="Normal"/>
        <w:ind w:end="180"/>
        <w:jc w:val="center"/>
        <w:rPr>
          <w:b/>
          <w:sz w:val="22"/>
        </w:rPr>
      </w:pPr>
      <w:r>
        <w:rPr>
          <w:b/>
          <w:sz w:val="22"/>
        </w:rPr>
        <w:t>BRIDGELINE HOLDINGS, L.P.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Amended and Restated Guaranty No. 2</w:t>
      </w:r>
    </w:p>
    <w:p>
      <w:pPr>
        <w:pStyle w:val="Normal"/>
        <w:spacing w:lineRule="exact" w:line="480"/>
        <w:jc w:val="both"/>
        <w:rPr>
          <w:sz w:val="22"/>
        </w:rPr>
      </w:pPr>
      <w:r>
        <w:rPr>
          <w:sz w:val="22"/>
        </w:rPr>
      </w:r>
    </w:p>
    <w:p>
      <w:pPr>
        <w:pStyle w:val="BodyTextIndent"/>
        <w:rPr/>
      </w:pPr>
      <w:r>
        <w:rPr/>
        <w:t>This Amended and Restated Guaranty (this “Guaranty”), dated as of May 1, 2000, is made and entered into by BRIDGELINE HOLDINGS, L.P., a Delaware limited partnership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Cinergy Marketing &amp; Trading, L.L.C., a Delaware limited liability corporation (“Counterparty”) and Bridgeline Gas Marketing LLC, a Delaware limited liability company (“BMC”), which is wholly owned by Guarantor,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WHEREAS, Guarantor previously executed and delivered to counterparty a guaranty and an amended and restated guaranty in an aggregate amount not to exceed $9,500,000.00.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desires to increase the amount of guaranteed obligations to $15,000,000.00 and therefore, is issuing this Amended and Restated Guaranty No. 2 for such increased amount.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BMC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 xml:space="preserve">(a)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w:t>
      </w:r>
    </w:p>
    <w:p>
      <w:pPr>
        <w:pStyle w:val="BodyTextIndent3"/>
        <w:widowControl w:val="false"/>
        <w:spacing w:lineRule="exact" w:line="240" w:before="240" w:after="0"/>
        <w:rPr/>
      </w:pPr>
      <w:r>
        <w:rPr/>
        <w:t>(b) Guarantor’s liability hereunder shall include reasonable attorney’s fees and enforcement costs for enforcement of this Guaranty if counterparty is the prevailing party.</w:t>
      </w:r>
    </w:p>
    <w:p>
      <w:pPr>
        <w:pStyle w:val="BodyTextIndent3"/>
        <w:widowControl w:val="false"/>
        <w:spacing w:lineRule="exact" w:line="240" w:before="240" w:after="0"/>
        <w:rPr/>
      </w:pPr>
      <w:r>
        <w:rPr/>
        <w:t>(c) The aggregate amount covered by this Guaranty and any previously issued guaranties shall not exceed U.S. $15,000,000.00.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under the contract,</w:t>
      </w:r>
      <w:r>
        <w:rPr>
          <w:color w:val="FF0000"/>
          <w:sz w:val="22"/>
        </w:rPr>
        <w:t xml:space="preserve"> </w:t>
      </w:r>
      <w:r>
        <w:rPr>
          <w:sz w:val="22"/>
        </w:rPr>
        <w:t>if BMC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limited partnership duly organized and validly existing under the laws of the State of Delaware and has the requisite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BMC or any other affiliate of Guarantor is or may be entitled to arising from or out of the Contract or otherwise, except for defenses arising out of the bankruptcy, insolvency, dissolution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keepLines/>
        <w:tabs>
          <w:tab w:val="clear" w:pos="720"/>
          <w:tab w:val="left" w:pos="2880" w:leader="none"/>
          <w:tab w:val="left" w:pos="6480" w:leader="none"/>
        </w:tabs>
        <w:spacing w:lineRule="exact" w:line="240"/>
        <w:ind w:start="720" w:end="0"/>
        <w:jc w:val="both"/>
        <w:rPr>
          <w:sz w:val="22"/>
        </w:rPr>
      </w:pPr>
      <w:r>
        <w:rPr>
          <w:sz w:val="22"/>
        </w:rPr>
      </w:r>
    </w:p>
    <w:tbl>
      <w:tblPr>
        <w:tblW w:w="14078" w:type="dxa"/>
        <w:jc w:val="start"/>
        <w:tblInd w:w="0" w:type="dxa"/>
        <w:tblLayout w:type="fixed"/>
        <w:tblCellMar>
          <w:top w:w="0" w:type="dxa"/>
          <w:start w:w="108" w:type="dxa"/>
          <w:bottom w:w="0" w:type="dxa"/>
          <w:end w:w="108" w:type="dxa"/>
        </w:tblCellMar>
      </w:tblPr>
      <w:tblGrid>
        <w:gridCol w:w="1908"/>
        <w:gridCol w:w="3492"/>
        <w:gridCol w:w="1618"/>
        <w:gridCol w:w="3530"/>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Cinergy Corp.</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Bridgeline Holdings, L.P.</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139 East Fourth Street</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1400 Smith, EB2861</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Cincinnati, Ohio 45202</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Houston, TX 77002</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Attn:  Treasurer</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Facsimile No.:  (513) 287-2749</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853-9476</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bl>
    <w:p>
      <w:pPr>
        <w:pStyle w:val="Normal"/>
        <w:keepNext w:val="true"/>
        <w:keepLines/>
        <w:spacing w:lineRule="exact" w:line="240"/>
        <w:jc w:val="both"/>
        <w:rPr>
          <w:sz w:val="22"/>
        </w:rPr>
      </w:pPr>
      <w:r>
        <w:rPr>
          <w:sz w:val="22"/>
        </w:rPr>
      </w:r>
    </w:p>
    <w:p>
      <w:pPr>
        <w:pStyle w:val="Normal"/>
        <w:keepNext w:val="true"/>
        <w:keepLines/>
        <w:spacing w:lineRule="atLeast" w:line="240"/>
        <w:jc w:val="both"/>
        <w:rPr>
          <w:sz w:val="22"/>
        </w:rPr>
      </w:pPr>
      <w:r>
        <w:rPr>
          <w:sz w:val="22"/>
        </w:rPr>
        <w:t xml:space="preserve">A copy of any notice sent to Guarantor pursuant hereto must also be sent to the above address to:  Bridgeline Gas Marketing LLC, Attention: Trevor Mihalik Fax No. (713) 646-6074.  </w:t>
      </w:r>
    </w:p>
    <w:p>
      <w:pPr>
        <w:pStyle w:val="Normal"/>
        <w:keepNext w:val="true"/>
        <w:keepLines/>
        <w:spacing w:lineRule="exact" w:line="240"/>
        <w:jc w:val="both"/>
        <w:rPr>
          <w:sz w:val="22"/>
        </w:rPr>
      </w:pPr>
      <w:r>
        <w:rPr>
          <w:sz w:val="22"/>
        </w:rPr>
      </w:r>
    </w:p>
    <w:p>
      <w:pPr>
        <w:pStyle w:val="Normal"/>
        <w:keepNext w:val="true"/>
        <w:keepLines/>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r>
        <w:br w:type="page"/>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BodyTextIndent"/>
        <w:keepNext w:val="true"/>
        <w:keepLines/>
        <w:rPr/>
      </w:pPr>
      <w:r>
        <w:rPr/>
        <w:t xml:space="preserve">IN WITNESS WHEREOF, the Guarantor has executed this Guaranty on </w:t>
        <w:tab/>
        <w:t>October _____, 2000, but it is effective as of the date first above written.</w:t>
      </w:r>
    </w:p>
    <w:p>
      <w:pPr>
        <w:pStyle w:val="Normal"/>
        <w:keepNext w:val="true"/>
        <w:keepLines/>
        <w:spacing w:lineRule="atLeast" w:line="240"/>
        <w:ind w:firstLine="720" w:end="0"/>
        <w:jc w:val="both"/>
        <w:rPr>
          <w:sz w:val="22"/>
        </w:rPr>
      </w:pPr>
      <w:r>
        <w:rPr>
          <w:sz w:val="22"/>
        </w:rPr>
      </w:r>
    </w:p>
    <w:p>
      <w:pPr>
        <w:pStyle w:val="Normal"/>
        <w:keepNext w:val="true"/>
        <w:keepLines/>
        <w:ind w:firstLine="720" w:start="2880" w:end="0"/>
        <w:rPr>
          <w:sz w:val="24"/>
        </w:rPr>
      </w:pPr>
      <w:r>
        <w:rPr>
          <w:b/>
          <w:sz w:val="24"/>
        </w:rPr>
        <w:t>BRIDGELINE HOLDINGS, L.P.</w:t>
      </w:r>
    </w:p>
    <w:p>
      <w:pPr>
        <w:pStyle w:val="Normal"/>
        <w:keepNext w:val="true"/>
        <w:keepLines/>
        <w:tabs>
          <w:tab w:val="clear" w:pos="720"/>
          <w:tab w:val="left" w:pos="-720" w:leader="none"/>
        </w:tabs>
        <w:suppressAutoHyphens w:val="true"/>
        <w:jc w:val="both"/>
        <w:rPr/>
      </w:pPr>
      <w:r>
        <w:rPr/>
        <w:tab/>
        <w:tab/>
        <w:tab/>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tab/>
        <w:tab/>
        <w:tab/>
        <w:tab/>
        <w:tab/>
        <w:t xml:space="preserve"> </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sz w:val="22"/>
        </w:rPr>
      </w:pPr>
      <w:r>
        <w:rPr>
          <w:sz w:val="22"/>
        </w:rPr>
        <w:tab/>
        <w:t xml:space="preserve"> By:  Bridgeline, LLC, General Partner</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sz w:val="22"/>
        </w:rPr>
      </w:pPr>
      <w:r>
        <w:rPr>
          <w:sz w:val="22"/>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sz w:val="22"/>
        </w:rPr>
      </w:pPr>
      <w:r>
        <w:rPr>
          <w:sz w:val="22"/>
        </w:rPr>
        <w:tab/>
        <w:t xml:space="preserve">     By:______________________________</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sz w:val="22"/>
        </w:rPr>
      </w:pPr>
      <w:r>
        <w:rPr>
          <w:sz w:val="22"/>
        </w:rPr>
        <w:t xml:space="preserve">                     </w:t>
      </w:r>
      <w:r>
        <w:rPr>
          <w:sz w:val="22"/>
        </w:rPr>
        <w:t>Jack Abadie, Manager</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sz w:val="22"/>
        </w:rPr>
      </w:pPr>
      <w:r>
        <w:rPr>
          <w:sz w:val="22"/>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sz w:val="22"/>
        </w:rPr>
      </w:pPr>
      <w:r>
        <w:rPr>
          <w:sz w:val="22"/>
        </w:rPr>
        <w:tab/>
        <w:t xml:space="preserve">     By:______________________________</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sz w:val="22"/>
        </w:rPr>
      </w:pPr>
      <w:r>
        <w:rPr>
          <w:sz w:val="22"/>
        </w:rPr>
        <w:t xml:space="preserve">                     </w:t>
      </w:r>
      <w:r>
        <w:rPr>
          <w:sz w:val="22"/>
        </w:rPr>
        <w:t>Robyn Davis, Manager</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sz w:val="22"/>
        </w:rPr>
      </w:pPr>
      <w:r>
        <w:rPr>
          <w:sz w:val="22"/>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sz w:val="22"/>
        </w:rPr>
      </w:pPr>
      <w:r>
        <w:rPr>
          <w:sz w:val="22"/>
        </w:rPr>
        <w:tab/>
        <w:t xml:space="preserve">     By:______________________________</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sz w:val="22"/>
        </w:rPr>
      </w:pPr>
      <w:r>
        <w:rPr>
          <w:sz w:val="22"/>
        </w:rPr>
        <w:t xml:space="preserve">                     </w:t>
      </w:r>
      <w:r>
        <w:rPr>
          <w:sz w:val="22"/>
        </w:rPr>
        <w:t>Jean Mrha, Manager</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sz w:val="22"/>
        </w:rPr>
      </w:pPr>
      <w:r>
        <w:rPr>
          <w:sz w:val="22"/>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sz w:val="22"/>
        </w:rPr>
      </w:pPr>
      <w:r>
        <w:rPr>
          <w:sz w:val="22"/>
        </w:rPr>
        <w:tab/>
        <w:t xml:space="preserve">     By:______________________________</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sz w:val="22"/>
        </w:rPr>
      </w:pPr>
      <w:r>
        <w:rPr>
          <w:sz w:val="22"/>
        </w:rPr>
        <w:t xml:space="preserve">                     </w:t>
      </w:r>
      <w:r>
        <w:rPr>
          <w:sz w:val="22"/>
        </w:rPr>
        <w:t>Brian Redmond, Manager</w:t>
      </w:r>
    </w:p>
    <w:p>
      <w:pPr>
        <w:pStyle w:val="Normal"/>
        <w:keepNext w:val="true"/>
        <w:keepLines/>
        <w:spacing w:lineRule="atLeast" w:line="240"/>
        <w:ind w:firstLine="720" w:end="0"/>
        <w:jc w:val="both"/>
        <w:rPr>
          <w:sz w:val="22"/>
        </w:rPr>
      </w:pPr>
      <w:r>
        <w:rPr>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49.5pt;mso-position-horizontal:center;mso-position-horizontal-relative:margin">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txbxContent>
              </v:textbox>
              <w10:wrap type="square"/>
            </v:rect>
          </w:pict>
        </mc:Fallback>
      </mc:AlternateContent>
    </w:r>
  </w:p>
  <w:p>
    <w:pPr>
      <w:pStyle w:val="Footer"/>
      <w:rPr>
        <w:sz w:val="16"/>
      </w:rPr>
    </w:pPr>
    <w:r>
      <w:rPr>
        <w:sz w:val="16"/>
      </w:rPr>
    </w:r>
  </w:p>
  <w:p>
    <w:pPr>
      <w:pStyle w:val="Footer"/>
      <w:rPr>
        <w:rFonts w:ascii="Times New Roman" w:hAnsi="Times New Roman" w:cs="Times New Roman"/>
        <w:sz w:val="16"/>
      </w:rPr>
    </w:pPr>
    <w:r>
      <w:rPr>
        <w:rFonts w:cs="Times New Roman" w:ascii="Times New Roman" w:hAnsi="Times New Roman"/>
        <w:sz w:val="16"/>
      </w:rPr>
      <w:t>O:\Bgray\Hurricane\</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Amended_and_Restated_Cinergy_Marketing_BHLP_Guaranty1.doc</w:t>
    </w:r>
    <w:r>
      <w:rPr>
        <w:sz w:val="16"/>
        <w:rFonts w:cs="Times New Roman" w:ascii="Times New Roman" w:hAnsi="Times New Roman"/>
      </w:rPr>
      <w:fldChar w:fldCharType="end"/>
    </w:r>
  </w:p>
  <w:p>
    <w:pPr>
      <w:pStyle w:val="Footer"/>
      <w:rPr>
        <w:rFonts w:ascii="Times New Roman" w:hAnsi="Times New Roman" w:cs="Times New Roman"/>
        <w:sz w:val="16"/>
      </w:rPr>
    </w:pPr>
    <w:r>
      <w:rPr>
        <w:rFonts w:cs="Times New Roman" w:ascii="Times New Roman" w:hAnsi="Times New Roman"/>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paragraph" w:styleId="Heading3">
    <w:name w:val="heading 3"/>
    <w:basedOn w:val="Normal"/>
    <w:next w:val="Normal"/>
    <w:qFormat/>
    <w:pPr>
      <w:keepNext w:val="true"/>
      <w:keepLines/>
      <w:numPr>
        <w:ilvl w:val="2"/>
        <w:numId w:val="1"/>
      </w:numPr>
      <w:outlineLvl w:val="2"/>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2000-10-18T14:10:00Z</dcterms:created>
  <dc:creator>tjones</dc:creator>
  <dc:description/>
  <dc:language>en-CA</dc:language>
  <cp:lastModifiedBy>gnemec</cp:lastModifiedBy>
  <cp:lastPrinted>2000-10-19T11:08:00Z</cp:lastPrinted>
  <dcterms:modified xsi:type="dcterms:W3CDTF">2000-10-19T13:40:00Z</dcterms:modified>
  <cp:revision>9</cp:revision>
  <dc:subject/>
  <dc:title>EXHIBIT A</dc:title>
</cp:coreProperties>
</file>