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footer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end"/>
        <w:rPr>
          <w:b/>
          <w:color w:val="0000FF"/>
        </w:rPr>
      </w:pPr>
      <w:r>
        <w:rPr>
          <w:b/>
          <w:color w:val="0000FF"/>
        </w:rPr>
        <w:t>Reference No.:  ENGAGE-02</w:t>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AMENDED AND RESTATED</w:t>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ENGAGE ENERGY CANADA, L.P.</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432" w:bottom="1296"/>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January 4, 2001</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tLeast" w:line="360" w:before="0" w:after="240"/>
            <w:ind w:hanging="0" w:start="0" w:end="720"/>
            <w:rPr>
              <w:lang w:val="en-CA"/>
            </w:rPr>
          </w:pPr>
          <w:r>
            <w:fldChar w:fldCharType="begin"/>
          </w:r>
          <w:r>
            <w:rPr>
              <w:caps/>
              <w:sz w:val="24"/>
              <w:rFonts w:cs="Times"/>
              <w:lang w:val="en-CA"/>
            </w:rPr>
            <w:instrText xml:space="preserve">TOC \o "1-1"</w:instrText>
          </w:r>
          <w:r>
            <w:rPr>
              <w:caps/>
              <w:sz w:val="24"/>
              <w:rFonts w:cs="Times"/>
              <w:lang w:val="en-CA"/>
            </w:rPr>
            <w:fldChar w:fldCharType="separate"/>
          </w:r>
          <w:r>
            <w:rPr>
              <w:rFonts w:cs="Times"/>
              <w:caps/>
              <w:sz w:val="24"/>
              <w:lang w:val="en-CA"/>
            </w:rPr>
            <w:t>ARTICLE 1. DEFINITIONS</w:t>
            <w:tab/>
          </w:r>
          <w:hyperlink w:anchor="__RefHeading___Toc503854382">
            <w:r>
              <w:rPr>
                <w:rStyle w:val="IndexLink"/>
                <w:rFonts w:cs="Times"/>
                <w:caps/>
                <w:sz w:val="24"/>
                <w:lang w:val="en-CA"/>
              </w:rPr>
              <w:t>1</w:t>
            </w:r>
          </w:hyperlink>
        </w:p>
        <w:p>
          <w:pPr>
            <w:pStyle w:val="TOC1"/>
            <w:rPr>
              <w:lang w:val="en-CA"/>
            </w:rPr>
          </w:pPr>
          <w:r>
            <w:rPr>
              <w:lang w:val="en-CA"/>
            </w:rPr>
            <w:t>ARTICLE 2. TERM</w:t>
            <w:tab/>
          </w:r>
          <w:hyperlink w:anchor="__RefHeading___Toc503854383">
            <w:r>
              <w:rPr>
                <w:rStyle w:val="IndexLink"/>
                <w:lang w:val="en-CA"/>
              </w:rPr>
              <w:t>5</w:t>
            </w:r>
          </w:hyperlink>
        </w:p>
        <w:p>
          <w:pPr>
            <w:pStyle w:val="TOC1"/>
            <w:rPr>
              <w:lang w:val="en-CA"/>
            </w:rPr>
          </w:pPr>
          <w:r>
            <w:rPr>
              <w:lang w:val="en-CA"/>
            </w:rPr>
            <w:t>ARTICLE 3. REPRESENTATIONS AND WARRANTIES</w:t>
            <w:tab/>
          </w:r>
          <w:hyperlink w:anchor="__RefHeading___Toc503854384">
            <w:r>
              <w:rPr>
                <w:rStyle w:val="IndexLink"/>
                <w:lang w:val="en-CA"/>
              </w:rPr>
              <w:t>5</w:t>
            </w:r>
          </w:hyperlink>
        </w:p>
        <w:p>
          <w:pPr>
            <w:pStyle w:val="TOC1"/>
            <w:rPr>
              <w:lang w:val="en-CA"/>
            </w:rPr>
          </w:pPr>
          <w:r>
            <w:rPr>
              <w:lang w:val="en-CA"/>
            </w:rPr>
            <w:t>ARTICLE 4. SCOPE OF AGREEMENT</w:t>
            <w:tab/>
          </w:r>
          <w:hyperlink w:anchor="__RefHeading___Toc503854385">
            <w:r>
              <w:rPr>
                <w:rStyle w:val="IndexLink"/>
                <w:lang w:val="en-CA"/>
              </w:rPr>
              <w:t>6</w:t>
            </w:r>
          </w:hyperlink>
        </w:p>
        <w:p>
          <w:pPr>
            <w:pStyle w:val="TOC1"/>
            <w:rPr>
              <w:lang w:val="en-CA"/>
            </w:rPr>
          </w:pPr>
          <w:r>
            <w:rPr>
              <w:lang w:val="en-CA"/>
            </w:rPr>
            <w:t>ARTICLE 5. TRANSACTIONS</w:t>
            <w:tab/>
          </w:r>
          <w:hyperlink w:anchor="__RefHeading___Toc503854386">
            <w:r>
              <w:rPr>
                <w:rStyle w:val="IndexLink"/>
                <w:lang w:val="en-CA"/>
              </w:rPr>
              <w:t>6</w:t>
            </w:r>
          </w:hyperlink>
        </w:p>
        <w:p>
          <w:pPr>
            <w:pStyle w:val="TOC1"/>
            <w:rPr>
              <w:lang w:val="en-CA"/>
            </w:rPr>
          </w:pPr>
          <w:r>
            <w:rPr>
              <w:lang w:val="en-CA"/>
            </w:rPr>
            <w:t>ARTICLE 6. QUANTITY OBLIGATIONS</w:t>
            <w:tab/>
          </w:r>
          <w:hyperlink w:anchor="__RefHeading___Toc503854387">
            <w:r>
              <w:rPr>
                <w:rStyle w:val="IndexLink"/>
                <w:lang w:val="en-CA"/>
              </w:rPr>
              <w:t>7</w:t>
            </w:r>
          </w:hyperlink>
        </w:p>
        <w:p>
          <w:pPr>
            <w:pStyle w:val="TOC1"/>
            <w:rPr>
              <w:lang w:val="en-CA"/>
            </w:rPr>
          </w:pPr>
          <w:r>
            <w:rPr>
              <w:lang w:val="en-CA"/>
            </w:rPr>
            <w:t>ARTICLE 7. OPERATIONS AND DELIVERY</w:t>
            <w:tab/>
          </w:r>
          <w:hyperlink w:anchor="__RefHeading___Toc503854388">
            <w:r>
              <w:rPr>
                <w:rStyle w:val="IndexLink"/>
                <w:lang w:val="en-CA"/>
              </w:rPr>
              <w:t>8</w:t>
            </w:r>
          </w:hyperlink>
        </w:p>
        <w:p>
          <w:pPr>
            <w:pStyle w:val="TOC1"/>
            <w:rPr>
              <w:lang w:val="en-CA"/>
            </w:rPr>
          </w:pPr>
          <w:r>
            <w:rPr>
              <w:lang w:val="en-CA"/>
            </w:rPr>
            <w:t>ARTICLE 8. POSSESSION AND TITLE</w:t>
            <w:tab/>
          </w:r>
          <w:hyperlink w:anchor="__RefHeading___Toc503854389">
            <w:r>
              <w:rPr>
                <w:rStyle w:val="IndexLink"/>
                <w:lang w:val="en-CA"/>
              </w:rPr>
              <w:t>9</w:t>
            </w:r>
          </w:hyperlink>
        </w:p>
        <w:p>
          <w:pPr>
            <w:pStyle w:val="TOC1"/>
            <w:rPr>
              <w:lang w:val="en-CA"/>
            </w:rPr>
          </w:pPr>
          <w:r>
            <w:rPr>
              <w:lang w:val="en-CA"/>
            </w:rPr>
            <w:t>ARTICLE 9. BILLING AND PAYMENT</w:t>
            <w:tab/>
          </w:r>
          <w:hyperlink w:anchor="__RefHeading___Toc503854390">
            <w:r>
              <w:rPr>
                <w:rStyle w:val="IndexLink"/>
                <w:lang w:val="en-CA"/>
              </w:rPr>
              <w:t>10</w:t>
            </w:r>
          </w:hyperlink>
        </w:p>
        <w:p>
          <w:pPr>
            <w:pStyle w:val="TOC1"/>
            <w:rPr>
              <w:lang w:val="en-CA"/>
            </w:rPr>
          </w:pPr>
          <w:r>
            <w:rPr>
              <w:lang w:val="en-CA"/>
            </w:rPr>
            <w:t>ARTICLE 10. DEFAULTS AND REMEDIES</w:t>
            <w:tab/>
          </w:r>
          <w:hyperlink w:anchor="__RefHeading___Toc503854391">
            <w:r>
              <w:rPr>
                <w:rStyle w:val="IndexLink"/>
                <w:lang w:val="en-CA"/>
              </w:rPr>
              <w:t>11</w:t>
            </w:r>
          </w:hyperlink>
        </w:p>
        <w:p>
          <w:pPr>
            <w:pStyle w:val="TOC1"/>
            <w:rPr>
              <w:lang w:val="en-CA"/>
            </w:rPr>
          </w:pPr>
          <w:r>
            <w:rPr>
              <w:lang w:val="en-CA"/>
            </w:rPr>
            <w:t>ARTICLE 11. exposure thresholds; collateral requirement</w:t>
            <w:tab/>
          </w:r>
          <w:hyperlink w:anchor="__RefHeading___Toc503854392">
            <w:r>
              <w:rPr>
                <w:rStyle w:val="IndexLink"/>
                <w:lang w:val="en-CA"/>
              </w:rPr>
              <w:t>14</w:t>
            </w:r>
          </w:hyperlink>
        </w:p>
        <w:p>
          <w:pPr>
            <w:pStyle w:val="TOC1"/>
            <w:rPr>
              <w:lang w:val="en-CA"/>
            </w:rPr>
          </w:pPr>
          <w:r>
            <w:rPr>
              <w:lang w:val="en-CA"/>
            </w:rPr>
            <w:t>ARTICLE 12. NOTICES</w:t>
            <w:tab/>
          </w:r>
          <w:hyperlink w:anchor="__RefHeading___Toc503854393">
            <w:r>
              <w:rPr>
                <w:rStyle w:val="IndexLink"/>
                <w:lang w:val="en-CA"/>
              </w:rPr>
              <w:t>15</w:t>
            </w:r>
          </w:hyperlink>
        </w:p>
        <w:p>
          <w:pPr>
            <w:pStyle w:val="TOC1"/>
            <w:rPr>
              <w:lang w:val="en-CA"/>
            </w:rPr>
          </w:pPr>
          <w:r>
            <w:rPr>
              <w:lang w:val="en-CA"/>
            </w:rPr>
            <w:t>ARTICLE 13. transfer or ASSIGNMENT</w:t>
            <w:tab/>
          </w:r>
          <w:hyperlink w:anchor="__RefHeading___Toc503854394">
            <w:r>
              <w:rPr>
                <w:rStyle w:val="IndexLink"/>
                <w:lang w:val="en-CA"/>
              </w:rPr>
              <w:t>15</w:t>
            </w:r>
          </w:hyperlink>
        </w:p>
        <w:p>
          <w:pPr>
            <w:pStyle w:val="TOC1"/>
            <w:rPr>
              <w:lang w:val="en-CA"/>
            </w:rPr>
          </w:pPr>
          <w:r>
            <w:rPr>
              <w:lang w:val="en-CA"/>
            </w:rPr>
            <w:t>ARTICLE 14. FORCE MAJEURE</w:t>
            <w:tab/>
          </w:r>
          <w:hyperlink w:anchor="__RefHeading___Toc503854395">
            <w:r>
              <w:rPr>
                <w:rStyle w:val="IndexLink"/>
                <w:lang w:val="en-CA"/>
              </w:rPr>
              <w:t>15</w:t>
            </w:r>
          </w:hyperlink>
        </w:p>
        <w:p>
          <w:pPr>
            <w:pStyle w:val="TOC1"/>
            <w:rPr>
              <w:lang w:val="en-CA"/>
            </w:rPr>
          </w:pPr>
          <w:r>
            <w:rPr>
              <w:lang w:val="en-CA"/>
            </w:rPr>
            <w:t>ARTICLE 15. TAXES</w:t>
            <w:tab/>
          </w:r>
          <w:hyperlink w:anchor="__RefHeading___Toc503854396">
            <w:r>
              <w:rPr>
                <w:rStyle w:val="IndexLink"/>
                <w:lang w:val="en-CA"/>
              </w:rPr>
              <w:t>16</w:t>
            </w:r>
          </w:hyperlink>
        </w:p>
        <w:p>
          <w:pPr>
            <w:pStyle w:val="TOC1"/>
            <w:rPr>
              <w:lang w:val="en-CA"/>
            </w:rPr>
          </w:pPr>
          <w:r>
            <w:rPr>
              <w:lang w:val="en-CA"/>
            </w:rPr>
            <w:t>ARTICLE 16. TRANSPORTATION imbalances</w:t>
            <w:tab/>
          </w:r>
          <w:hyperlink w:anchor="__RefHeading___Toc503854397">
            <w:r>
              <w:rPr>
                <w:rStyle w:val="IndexLink"/>
                <w:lang w:val="en-CA"/>
              </w:rPr>
              <w:t>17</w:t>
            </w:r>
          </w:hyperlink>
        </w:p>
        <w:p>
          <w:pPr>
            <w:pStyle w:val="TOC1"/>
            <w:rPr>
              <w:lang w:val="en-CA"/>
            </w:rPr>
          </w:pPr>
          <w:r>
            <w:rPr>
              <w:lang w:val="en-CA"/>
            </w:rPr>
            <w:t>ARTICLE 17. MISCELLANEOUS</w:t>
            <w:tab/>
          </w:r>
          <w:hyperlink w:anchor="__RefHeading___Toc503854398">
            <w:r>
              <w:rPr>
                <w:rStyle w:val="IndexLink"/>
                <w:lang w:val="en-CA"/>
              </w:rPr>
              <w:t>17</w:t>
            </w:r>
          </w:hyperlink>
          <w:r>
            <w:rPr>
              <w:rStyle w:val="IndexLink"/>
              <w:lang w:val="en-CA"/>
            </w:rPr>
            <w:fldChar w:fldCharType="end"/>
          </w:r>
        </w:p>
      </w:sdtContent>
    </w:sdt>
    <w:p>
      <w:pPr>
        <w:pStyle w:val="Normal"/>
        <w:tabs>
          <w:tab w:val="clear" w:pos="720"/>
          <w:tab w:val="left" w:pos="486" w:leader="none"/>
          <w:tab w:val="left" w:pos="1374" w:leader="none"/>
          <w:tab w:val="right" w:pos="9360" w:leader="dot"/>
        </w:tabs>
        <w:jc w:val="both"/>
        <w:rPr>
          <w:lang w:val="en-CA"/>
        </w:rPr>
      </w:pPr>
      <w:r>
        <w:rPr>
          <w:lang w:val="en-CA"/>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Form of Guarantee Agreement (Enron Canada’s Guarantor)</w:t>
      </w:r>
    </w:p>
    <w:p>
      <w:pPr>
        <w:sectPr>
          <w:footerReference w:type="default" r:id="rId3"/>
          <w:footerReference w:type="first" r:id="rId4"/>
          <w:type w:val="nextPage"/>
          <w:pgSz w:w="12240" w:h="15840"/>
          <w:pgMar w:left="1440" w:right="1440" w:gutter="0" w:header="0" w:top="1440" w:footer="432" w:bottom="1296"/>
          <w:pgNumType w:start="1" w:fmt="decimal"/>
          <w:formProt w:val="false"/>
          <w:textDirection w:val="lrTb"/>
          <w:docGrid w:type="default" w:linePitch="360" w:charSpace="0"/>
        </w:sectPr>
        <w:pStyle w:val="Normal"/>
        <w:tabs>
          <w:tab w:val="clear" w:pos="720"/>
          <w:tab w:val="left" w:pos="450" w:leader="none"/>
        </w:tabs>
        <w:rPr>
          <w:b/>
        </w:rPr>
      </w:pPr>
      <w:r>
        <w:rPr/>
        <w:tab/>
        <w:t>EXHIBIT “D” – Form of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4</w:t>
      </w:r>
      <w:r>
        <w:rPr>
          <w:vertAlign w:val="superscript"/>
        </w:rPr>
        <w:t>th</w:t>
      </w:r>
      <w:r>
        <w:rPr/>
        <w:t xml:space="preserve"> day of January, 2001</w:t>
      </w:r>
      <w:r>
        <w:rPr>
          <w:color w:val="0000FF"/>
        </w:rPr>
        <w:t xml:space="preserve"> </w:t>
      </w:r>
      <w:r>
        <w:rPr/>
        <w:t>(the “Effective Date”) and amends and restates the Master Firm Gas Purchase/Sale Agreement between the parties dated October 31, 1993 (the “Prior Master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Engage Energy Canada, L.P.</w:t>
      </w:r>
      <w:r>
        <w:rPr>
          <w:color w:val="0000FF"/>
        </w:rPr>
        <w:t>,</w:t>
      </w:r>
      <w:r>
        <w:rPr/>
        <w:t xml:space="preserve"> a limited partnership, with offices in </w:t>
      </w:r>
      <w:r>
        <w:rPr>
          <w:color w:val="0000FF"/>
        </w:rPr>
        <w:t>Calgary, Alberta</w:t>
      </w:r>
      <w:r>
        <w:rPr/>
        <w:t xml:space="preserve">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Canada Corp.</w:t>
      </w:r>
      <w:r>
        <w:rPr/>
        <w:t xml:space="preserve">, a body corporate, with offices in Calgary, Alberta (hereinafter referred to as “Enron Canada”)  </w:t>
      </w:r>
    </w:p>
    <w:p>
      <w:pPr>
        <w:pStyle w:val="Normal"/>
        <w:ind w:start="2160" w:end="2160"/>
        <w:jc w:val="both"/>
        <w:rPr/>
      </w:pPr>
      <w:r>
        <w:rPr/>
      </w:r>
    </w:p>
    <w:p>
      <w:pPr>
        <w:pStyle w:val="Heading2"/>
        <w:rPr/>
      </w:pPr>
      <w:r>
        <w:rPr/>
        <w:t>WHEREAS, Customer and Enron Canada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Enron Canada mutually agree as follows:</w:t>
      </w:r>
    </w:p>
    <w:p>
      <w:pPr>
        <w:pStyle w:val="Heading1"/>
        <w:ind w:hanging="0" w:start="0"/>
        <w:rPr/>
      </w:pPr>
      <w:bookmarkStart w:id="0" w:name="__RefHeading___Toc503854382"/>
      <w:bookmarkEnd w:id="0"/>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(i) Canadian Enerdata Ltd. ceases to publish the information required to determine the AECO Day Price or (ii) there is a material change in the formula for or the method of calculating the AECO Day Price after the date the applicable Transaction is entered by the Parties,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(i) Canadian Enerdata Ltd. ceases to publish the information required to determine the AECO Index or (ii) there is a material change in the formula for or the method of calculating,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agreed upon by the Parties.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substantially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color w:val="0000FF"/>
          <w:u w:val="single"/>
        </w:rPr>
        <w:t>Customer’s Guarantor</w:t>
      </w:r>
      <w:r>
        <w:rPr>
          <w:color w:val="0000FF"/>
        </w:rPr>
        <w:t>” means Westcoast Energy Inc. or any replacement permitted in accordance with Section 1 of the guarantee agreement of even date herewith between Westcoast Energy Inc. and Enron Canada.</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purchase and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or the number of MMBtu’s per Mcf, determined by using the heat content factor announced for the applicable time by the pipeline company which announces the heat content factor for the applicable Delivery Point.</w:t>
      </w:r>
    </w:p>
    <w:p>
      <w:pPr>
        <w:pStyle w:val="Normal"/>
        <w:tabs>
          <w:tab w:val="clear" w:pos="720"/>
          <w:tab w:val="left" w:pos="1152" w:leader="none"/>
          <w:tab w:val="left" w:pos="2016" w:leader="none"/>
          <w:tab w:val="left" w:pos="2880" w:leader="none"/>
          <w:tab w:val="left" w:pos="3744" w:leader="none"/>
          <w:tab w:val="left" w:pos="5760" w:leader="none"/>
        </w:tabs>
        <w:jc w:val="both"/>
        <w:rPr>
          <w:rFonts w:eastAsia="Arial"/>
        </w:rPr>
      </w:pPr>
      <w:r>
        <w:rPr>
          <w:rFonts w:eastAsia="Arial"/>
        </w:rPr>
        <w:t xml:space="preserv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r>
        <w:rPr>
          <w:color w:val="0000FF"/>
        </w:rPr>
        <w:t>“</w:t>
      </w:r>
      <w:r>
        <w:rPr>
          <w:i/>
          <w:color w:val="0000FF"/>
          <w:u w:val="single"/>
        </w:rPr>
        <w:t>Enron Canada’s Guarantor</w:t>
      </w:r>
      <w:r>
        <w:rPr>
          <w:color w:val="0000FF"/>
        </w:rPr>
        <w:t>” means Enron Corp. or any replacement permitted in accordance with Section 1 of the guarantee agreement of even date herewith between Enron Corp. and Customer.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 xml:space="preserve">Excise Tax Act </w:t>
      </w:r>
      <w:r>
        <w:rPr/>
        <w:t xml:space="preserve">(Canada),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Ratings Services, a division of The McGraw-Hill Companies, Inc. or any successor thereof (“Standard &amp; Poor’s”) or “A3” by Moody’s Investors Service, Inc. or any successor thereof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Material Adverse Change</w:t>
      </w:r>
      <w:r>
        <w:rPr/>
        <w:t>” means (i) with respect to Enron Canada, Enron Canada’s Guarantor shall have long-term debt unsupported by third party credit enhancement that is rated by Standard &amp; Poor’s below BBB-; or (ii) with respect to Customer, Customer’s Guarantor shall have long-term debt unsupported by third party credit enhancement that is rated by Dominion Bond Rating Service Limited or a successor thereto below BBB.</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xml:space="preserve">” means, for any Month during the Period of Delivery in any Transaction, the minimum quantity of Gas per Month (expressed in volumetric or energy units), that Buyer is obligated to purchase and receive if tendered by Seller, which quantity shall be the percentage of the MaxDQ as agreed upon by the Parties (“Load Factor”), multiplied by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TransCanada PipeLines Limited – Alberta System,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NIT, the AECO Day Price for the Day on which the Seller's Deficiency Default occurred; or (b) if the Delivery Point is other than AECO “C” or NIT,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NIT and if a DCQ is applicable, the AECO Day Price for the Day on which Buyer's Deficiency Default occurred, or if a MinPQ is applicable, the AECO Index for the Month in which Buyer’s Deficiency Default occurred; or (b) if the Delivery Point is other than AECO “C” or NIT,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bookmarkStart w:id="1" w:name="__RefHeading___Toc503854383"/>
      <w:bookmarkEnd w:id="1"/>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(30) Days' prior written notice to the other Party; provided however, that, the provisions hereof shall continue to apply to all Trans</w:t>
        <w:softHyphen/>
        <w:t xml:space="preserve">actions entered into between Customer and Enron Canada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bookmarkStart w:id="2" w:name="__RefHeading___Toc503854384"/>
      <w:bookmarkEnd w:id="2"/>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2"/>
        <w:rPr/>
      </w:pPr>
      <w:r>
        <w:rPr/>
        <w:fldChar w:fldCharType="begin"/>
      </w:r>
      <w:r>
        <w:rPr/>
        <w:instrText xml:space="preserve"> SEQ AutoNr \* ARABIC </w:instrText>
      </w:r>
      <w:r>
        <w:rPr/>
        <w:fldChar w:fldCharType="separate"/>
      </w:r>
      <w:r>
        <w:rPr/>
        <w:t>5</w:t>
      </w:r>
      <w:r>
        <w:rPr/>
        <w:fldChar w:fldCharType="end"/>
      </w:r>
      <w:r>
        <w:rPr/>
        <w:tab/>
      </w:r>
      <w:r>
        <w:rPr>
          <w:u w:val="single"/>
        </w:rPr>
        <w:t>Representations</w:t>
      </w:r>
      <w:r>
        <w:rPr/>
        <w:t>.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and has obtained all necessary consents and regulatory authorizations, for it to conduct its business, to execute and deliver this Agreement and to perform its obligations hereunder and under each Transaction; (iii) (a) each Transaction shall constitute a “commodity contract” or an “OTC derivative” or such other similar term as defined pursuant to the securities legislation in force in Alberta, British Columbia and Ontario or pursuant to the securities legislation of any other jurisdictions having application to the Transaction, and (b) it is a “Qualified Party” within the meaning of paragraph 9.1 of Alberta Securities Commission Order Doc.#394043 and paragraph 1.1 of the draft British Columbia Securities Commission Blanket Order BOR#91-501 and a "qualified party" within the meaning of paragraph 1.1 of the Ontario Securities Commission Rule #91-504, in any such case, as amended, restated, replaced or re-enacted from time to time, and pursuant to any equivalent order or other enactment made pursuant to the securities laws of Alberta, British Columbia, Ontario or any other jurisdictions having application to the Transaction; (iv)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(vi) there are no bankruptcy, insolvency, reorganization, receivership or other arrangement proceedings pending, or being contemplated by it or, to its knowledge, threatened against it.</w:t>
      </w:r>
    </w:p>
    <w:p>
      <w:pPr>
        <w:pStyle w:val="Heading2"/>
        <w:rPr/>
      </w:pPr>
      <w:r>
        <w:rPr/>
        <w:fldChar w:fldCharType="begin"/>
      </w:r>
      <w:r>
        <w:rPr/>
        <w:instrText xml:space="preserve"> SEQ AutoNr \* ARABIC </w:instrText>
      </w:r>
      <w:r>
        <w:rPr/>
        <w:fldChar w:fldCharType="separate"/>
      </w:r>
      <w:r>
        <w:rPr/>
        <w:t>6</w:t>
      </w:r>
      <w:r>
        <w:rPr/>
        <w:fldChar w:fldCharType="end"/>
      </w:r>
      <w:r>
        <w:rPr/>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Financial Information</w:t>
      </w:r>
      <w:r>
        <w:rPr/>
        <w:t xml:space="preserve">. </w:t>
      </w:r>
    </w:p>
    <w:p>
      <w:pPr>
        <w:pStyle w:val="Heading2"/>
        <w:rPr/>
      </w:pPr>
      <w:r>
        <w:rPr/>
        <w:t>(i)</w:t>
        <w:tab/>
        <w:t>If requested by Enron Canada,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(ii)</w:t>
        <w:tab/>
        <w:t>If requested by Customer, Enron Canada shall deliver within one hundred twenty (120) Days following the end of each fiscal year of Enron Canada’s Guarantor, a copy of Enron Canada’s Guarantor’s annual report, containing financial statements for such fiscal year certified by independent certified public accountants, and within sixty (60) Days after the end of each of the first three (3) fiscal quarters of each fiscal year of Enron Canada’s Guarantor, a copy of Enron Canada’s Guarantor’s quarterly report, containing unaudited financial statements for such fiscal quarter, and in each case such report shall be prepared in accordance with GAAP.</w:t>
      </w:r>
    </w:p>
    <w:p>
      <w:pPr>
        <w:pStyle w:val="Heading1"/>
        <w:ind w:hanging="0" w:start="0"/>
        <w:rPr/>
      </w:pPr>
      <w:bookmarkStart w:id="3" w:name="__RefHeading___Toc503854385"/>
      <w:bookmarkEnd w:id="3"/>
      <w:r>
        <w:rPr/>
        <w:t xml:space="preserve">ARTICLE </w:t>
      </w:r>
      <w:r>
        <w:rPr/>
        <w:fldChar w:fldCharType="begin"/>
      </w:r>
      <w:r>
        <w:rPr/>
        <w:instrText xml:space="preserve"> SEQ AutoNr \* ARABIC </w:instrText>
      </w:r>
      <w:r>
        <w:rPr/>
        <w:fldChar w:fldCharType="separate"/>
      </w:r>
      <w:r>
        <w:rPr/>
        <w:t>8</w:t>
      </w:r>
      <w:r>
        <w:rPr/>
        <w:fldChar w:fldCharType="end"/>
      </w:r>
      <w:r>
        <w:rPr/>
        <w:br/>
        <w:t>SCOPE OF AGREEMENT</w:t>
      </w:r>
    </w:p>
    <w:p>
      <w:pPr>
        <w:pStyle w:val="Heading2"/>
        <w:rPr/>
      </w:pPr>
      <w:r>
        <w:rPr>
          <w:u w:val="single"/>
        </w:rPr>
        <w:t>Scope of Agreement</w:t>
      </w:r>
      <w:r>
        <w:rPr/>
        <w:t>.  Customer and Enron Canada may enter into Transactions for the firm sale and delivery and purchase and receipt of Gas at the Delivery Point(s). Each Transaction may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obligations or MaxDQ and MinPQ obligations, and, in each case, the applicable alternative definitions and provisions set forth in this Agreement will apply.</w:t>
      </w:r>
    </w:p>
    <w:p>
      <w:pPr>
        <w:pStyle w:val="Heading1"/>
        <w:ind w:hanging="0" w:start="0"/>
        <w:rPr/>
      </w:pPr>
      <w:bookmarkStart w:id="4" w:name="__RefHeading___Toc503854386"/>
      <w:bookmarkEnd w:id="4"/>
      <w:r>
        <w:rPr/>
        <w:t xml:space="preserve">ARTICLE </w:t>
      </w:r>
      <w:r>
        <w:rPr/>
        <w:fldChar w:fldCharType="begin"/>
      </w:r>
      <w:r>
        <w:rPr/>
        <w:instrText xml:space="preserve"> SEQ AutoNr \* ARABIC </w:instrText>
      </w:r>
      <w:r>
        <w:rPr/>
        <w:fldChar w:fldCharType="separate"/>
      </w:r>
      <w:r>
        <w:rPr/>
        <w:t>9</w:t>
      </w:r>
      <w:r>
        <w:rPr/>
        <w:fldChar w:fldCharType="end"/>
      </w:r>
      <w:r>
        <w:rPr/>
        <w:br/>
        <w:t>TRANSACTIONS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Transaction Procedure</w:t>
      </w:r>
      <w:r>
        <w:rPr/>
        <w:t xml:space="preserve">.  When, from time to time, Customer and Enron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Confirmation Letter Procedure</w:t>
      </w:r>
      <w:r>
        <w:rPr/>
        <w:t>.  Enron Canada may confirm a Transaction by sending a Confirmation Letter to Customer.  In such instances, after the Parties have verbally agreed to all terms of a Transaction, Enron Canada may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Enron Canada, and thereafter the Parties shall in good faith resolve the discrepancy.  If Customer provides no notice of inaccuracy within such three (3) Business Days, the Confirmation Letter shall be deemed to accurately state the terms of the Transaction.  If Enron does not send a Confirmation Letter confirming a Transaction to Customer by facsimile or other mutually acceptable means to Customer within five (5) Business Days of the date on which the applicable Transaction was entered, Customer may send to Enron Canada by facsimile or other mutually acceptable means a Confirmation Letter (a “Customer Confirmation Letter”) documenting the agreed Transaction.  In such case, Enron Canada will verify the accuracy of the terms of such Transaction detailed therein and promptly execute and return such Customer Confirmation Letter by facsimile or other mutually acceptable means.  If, in Enron Canada’s opinion, such Customer Confirmation Letter inaccurately states the terms of the Transaction, Enron Canada shall, within three (3) Business Days of receiving such Customer Confirmation Letter, so inform Customer, and thereafter the Parties shall in good faith resolve the discrepancy.  Enron Canada will then issue a Confirmation Letter in accordance with the provisions of this section 5.2.  If Enron Canada provides no notice of inaccuracy within such three (3) Business Days, the Customer Confirmation Letter shall be deemed to accurately state the terms of the Transaction.</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Electronic Taping</w:t>
      </w:r>
      <w:r>
        <w:rPr/>
        <w:t>.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Customer and Enron Canada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w:t>
      </w:r>
    </w:p>
    <w:p>
      <w:pPr>
        <w:pStyle w:val="Heading1"/>
        <w:ind w:hanging="0" w:start="0"/>
        <w:rPr/>
      </w:pPr>
      <w:bookmarkStart w:id="5" w:name="__RefHeading___Toc503854387"/>
      <w:bookmarkEnd w:id="5"/>
      <w:r>
        <w:rPr/>
        <w:t xml:space="preserve">ARTICLE </w:t>
      </w:r>
      <w:r>
        <w:rPr/>
        <w:fldChar w:fldCharType="begin"/>
      </w:r>
      <w:r>
        <w:rPr/>
        <w:instrText xml:space="preserve"> SEQ AutoNr \* ARABIC </w:instrText>
      </w:r>
      <w:r>
        <w:rPr/>
        <w:fldChar w:fldCharType="separate"/>
      </w:r>
      <w:r>
        <w:rPr/>
        <w:t>13</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Seller's Failure to Deliver</w:t>
      </w:r>
      <w:r>
        <w:rPr/>
        <w:t>.  If on any Day Seller fails to sell and deliver Buyer's Requested Quantity for such Day, unless such failure is (i) solely attributable to Buyer’s failure to purchase and receive Buyer’s Requested Quantity or (ii) excused in accordance with Section 9.4, Section 10.1 or Article 14,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(a) an amount equal to the product of the Energy Content of Seller's Deficiency Quantity multiplied by the Replacement Price Differential; plus (b) an amount as liquidated damages equal to $0.15 multiplied by the Energy Content of the Seller's Deficiency Quantity to cover Buyer's administrative and operational costs; plus (c)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Buyer's Failure to Receive</w:t>
      </w:r>
      <w:r>
        <w:rPr/>
        <w:t>.  If on any Day Buyer fails to purchase and receive the DCQ, unless such failure is (i) solely attributable to Seller’s failure to sell and deliver the DCQ or (ii) excused in accordance with Section 10.1 or Article 14,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and if such failure is not (i) solely attributable to Seller’s failure to sell and deliver the MinPQ for that Month or (ii) excused in accordance with Section 10.1 or Article 14, then such occurrence shall constitute a “Buyer's Deficiency Default” and “Buyer's Deficiency Quantity” shall be the difference between the MinPQ for such Month and the quantity of Gas received by Buyer for such Month.  In the event of a Buyer's Deficiency Default, Buyer shall pay Seller the sum of the following:  (a) an amount equal to the product of the Energy Content of Buyer's Deficiency Quantity multiplied by the Replacement Price Differential; plus (b) an amount as liquidated damages equal to $0.15 multiplied by the Energy Content of the Buyer's Deficiency Quantity to cover Seller's administra</w:t>
        <w:softHyphen/>
        <w:t>tive and operational costs; plus (c)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Redetermination of a Price Index</w:t>
      </w:r>
      <w:r>
        <w:rPr/>
        <w:t>.  If (i) any Price Index ceases to be available in the future or (ii) there is a material change in the formula for or the method of calculating any Price Index (each, a “Price Index Disruption Event”), the Parties agree to promptly and in good faith negotiate a mutually satisfactory alternate index for such Price Index (the “Alternate Index”).  If the Parties cannot agree on a substitute methodology or publication by the end of the first Month in which a Price Index Disruption Event occurs, then Buyer and Seller shall each in good faith prepare a list of up to five (5)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Disruption Event occurs.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(10) alternative published reference postings or prices representative of firm spot prices for Gas delivered in the same geographic area as the Price Index for which an Alternate Index is being sought, and repeat the process stated in the three (3) sentences immediately preceding this sentence.  If necessary, this process shall be repeated, with five (5) additional alternate references to be included on each Party’s list each time the process is repeated, until the Alternate Index is determined.  From and after the date a Price Index Disruption Event occurs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bookmarkStart w:id="6" w:name="__RefHeading___Toc503854388"/>
      <w:bookmarkEnd w:id="6"/>
      <w:r>
        <w:rPr/>
        <w:t xml:space="preserve">ARTICLE </w:t>
      </w:r>
      <w:r>
        <w:rPr/>
        <w:fldChar w:fldCharType="begin"/>
      </w:r>
      <w:r>
        <w:rPr/>
        <w:instrText xml:space="preserve"> SEQ AutoNr \* ARABIC </w:instrText>
      </w:r>
      <w:r>
        <w:rPr/>
        <w:fldChar w:fldCharType="separate"/>
      </w:r>
      <w:r>
        <w:rPr/>
        <w:t>19</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Multiple Delivery Point Utilization</w:t>
      </w:r>
      <w:r>
        <w:rPr/>
        <w:t>.  This provision shall apply with respect to Transactions contemplating more than one Delivery Point.  The Confirmation Letter relating to any such Transaction shall specify a “Maximum Daily Delivery Point Quantity” for each Delivery Point.  Unless otherwise agreed,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(i)</w:t>
        <w:tab/>
        <w:t xml:space="preserve">if NIT, as it operates at the Effective Time for any Transaction, is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(ii)</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(iii)</w:t>
        <w:tab/>
        <w:t>if NOVA institutes a fee for title transfers (or if pursuant to Section 7.6(i), above, the Delivery Point is changed to AECO “C” and AECO “C” imposes a fee for title transfers), such fee shall be shared equally by the Parties.</w:t>
      </w:r>
    </w:p>
    <w:p>
      <w:pPr>
        <w:pStyle w:val="Heading1"/>
        <w:ind w:hanging="0" w:start="0"/>
        <w:rPr/>
      </w:pPr>
      <w:bookmarkStart w:id="7" w:name="__RefHeading___Toc503854389"/>
      <w:bookmarkEnd w:id="7"/>
      <w:r>
        <w:rPr/>
        <w:t xml:space="preserve">ARTICLE </w:t>
      </w:r>
      <w:r>
        <w:rPr/>
        <w:fldChar w:fldCharType="begin"/>
      </w:r>
      <w:r>
        <w:rPr/>
        <w:instrText xml:space="preserve"> SEQ AutoNr \* ARABIC </w:instrText>
      </w:r>
      <w:r>
        <w:rPr/>
        <w:fldChar w:fldCharType="separate"/>
      </w:r>
      <w:r>
        <w:rPr/>
        <w:t>26</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bookmarkStart w:id="8" w:name="__RefHeading___Toc503854390"/>
      <w:bookmarkEnd w:id="8"/>
      <w:r>
        <w:rPr/>
        <w:t xml:space="preserve">ARTICLE </w:t>
      </w:r>
      <w:r>
        <w:rPr/>
        <w:fldChar w:fldCharType="begin"/>
      </w:r>
      <w:r>
        <w:rPr/>
        <w:instrText xml:space="preserve"> SEQ AutoNr \* ARABIC </w:instrText>
      </w:r>
      <w:r>
        <w:rPr/>
        <w:fldChar w:fldCharType="separate"/>
      </w:r>
      <w:r>
        <w:rPr/>
        <w:t>29</w:t>
      </w:r>
      <w:r>
        <w:rPr/>
        <w:fldChar w:fldCharType="end"/>
      </w:r>
      <w:r>
        <w:rPr/>
        <w:br/>
        <w:t>BILLING AND PAYMENT</w:t>
      </w:r>
    </w:p>
    <w:p>
      <w:pPr>
        <w:pStyle w:val="Heading2"/>
        <w:keepNext w:val="true"/>
        <w:rPr/>
      </w:pPr>
      <w:r>
        <w:rPr/>
        <w:fldChar w:fldCharType="begin"/>
      </w:r>
      <w:r>
        <w:rPr/>
        <w:instrText xml:space="preserve"> SEQ AutoNr \* ARABIC </w:instrText>
      </w:r>
      <w:r>
        <w:rPr/>
        <w:fldChar w:fldCharType="separate"/>
      </w:r>
      <w:r>
        <w:rPr/>
        <w:t>30</w:t>
      </w:r>
      <w:r>
        <w:rPr/>
        <w:fldChar w:fldCharType="end"/>
      </w:r>
      <w:r>
        <w:rPr/>
        <w:tab/>
      </w:r>
      <w:r>
        <w:rPr>
          <w:u w:val="single"/>
        </w:rPr>
        <w:t>Invoice Date and Charges</w:t>
      </w:r>
      <w:r>
        <w:rPr/>
        <w:t>.</w:t>
      </w:r>
    </w:p>
    <w:p>
      <w:pPr>
        <w:pStyle w:val="Heading2"/>
        <w:keepNext w:val="true"/>
        <w:rPr/>
      </w:pPr>
      <w:r>
        <w:rPr/>
        <w:t>(i)</w:t>
        <w:tab/>
        <w:t>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Gas or by netting, as the Parties may agree.</w:t>
      </w:r>
    </w:p>
    <w:p>
      <w:pPr>
        <w:pStyle w:val="Heading2"/>
        <w:rPr/>
      </w:pPr>
      <w:r>
        <w:rPr/>
        <w:t>(ii)</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in accordance with Section 9.4, Section 10.1 or Article 14 or with respect to Gas that was not delivered by Seller solely due to Buyer’s failure to receive such Gas.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(a)</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NIT, the AECO Day Price for the Day on which the Seller’s Deficiency Default occurred or (y) if the Delivery Point is other than AECO “C” or NIT,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(b)</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Payment Date</w:t>
      </w:r>
      <w:r>
        <w:rPr/>
        <w:t>. Buyer shall pay, or if Section 6.2 or Section 9.1(ii)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35</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bookmarkStart w:id="9" w:name="__RefHeading___Toc503854391"/>
      <w:bookmarkEnd w:id="9"/>
      <w:r>
        <w:rPr/>
        <w:t xml:space="preserve">ARTICLE </w:t>
      </w:r>
      <w:r>
        <w:rPr/>
        <w:fldChar w:fldCharType="begin"/>
      </w:r>
      <w:r>
        <w:rPr/>
        <w:instrText xml:space="preserve"> SEQ AutoNr \* ARABIC </w:instrText>
      </w:r>
      <w:r>
        <w:rPr/>
        <w:fldChar w:fldCharType="separate"/>
      </w:r>
      <w:r>
        <w:rPr/>
        <w:t>36</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37</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which notice shall be given no later than sixty (60) Days after the discovery of the occurrence of the Triggering Event, to terminate any or all Transactions selected by it and this Agreement in respect thereof, effective as of the Early Termination Date (defined below), and may elect to withhold any payments due and suspend all further deliveries or receipts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w:t>
      </w:r>
    </w:p>
    <w:p>
      <w:pPr>
        <w:pStyle w:val="Heading2"/>
        <w:rPr/>
      </w:pPr>
      <w:r>
        <w:rPr/>
        <w:fldChar w:fldCharType="begin"/>
      </w:r>
      <w:r>
        <w:rPr/>
        <w:instrText xml:space="preserve"> SEQ AutoNr \* ARABIC </w:instrText>
      </w:r>
      <w:r>
        <w:rPr/>
        <w:fldChar w:fldCharType="separate"/>
      </w:r>
      <w:r>
        <w:rPr/>
        <w:t>38</w:t>
      </w:r>
      <w:r>
        <w:rPr/>
        <w:fldChar w:fldCharType="end"/>
      </w:r>
      <w:r>
        <w:rPr/>
        <w:tab/>
      </w:r>
      <w:r>
        <w:rPr>
          <w:u w:val="single"/>
        </w:rPr>
        <w:t>Termination Payment</w:t>
      </w:r>
      <w:r>
        <w:rPr/>
        <w:t>.  If, pursuant to Section 10.1, the Notifying Party elects to terminate any or all Transactions under this Agreement,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The Notifying Party shall give the Affected Party written notice of the net amount of Early Termination Damages, which net amount, if constituting a loss to the Notifying Party, shall be increased by, and, if constituting a gain to the Notifying Party, shall be decreased by, the sum of: (a) the Notifying Party’s associated costs and legal expenses (estimated, to the extent necessary) related to the determination of the Early Termination Damages and enforcement of the Notifying Party’s rights and remedies with respect thereto or for the collection thereof, plus (b) all amounts owed but not yet paid by the Affected Party (whether or not such amounts are then due) pursuant to any and all Transactions, less (c) all amounts owed but not yet paid by the Notifying Party (whether or not such amounts are then due) pursuant to any and all Transactions (the sum of all of the foregoing being referred to as the “Termination Payment”), stating in reasonable detail how the amount was calculated.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ten (10) Days of receipt of such notice by the Affected Party.</w:t>
      </w:r>
    </w:p>
    <w:p>
      <w:pPr>
        <w:pStyle w:val="Heading2"/>
        <w:rPr/>
      </w:pPr>
      <w:r>
        <w:rPr/>
        <w:fldChar w:fldCharType="begin"/>
      </w:r>
      <w:r>
        <w:rPr/>
        <w:instrText xml:space="preserve"> SEQ AutoNr \* ARABIC </w:instrText>
      </w:r>
      <w:r>
        <w:rPr/>
        <w:fldChar w:fldCharType="separate"/>
      </w:r>
      <w:r>
        <w:rPr/>
        <w:t>39</w:t>
      </w:r>
      <w:r>
        <w:rPr/>
        <w:fldChar w:fldCharType="end"/>
      </w:r>
      <w:r>
        <w:rPr/>
        <w:tab/>
      </w:r>
      <w:r>
        <w:rPr>
          <w:u w:val="single"/>
        </w:rPr>
        <w:t>Triggering Event.</w:t>
      </w:r>
      <w:r>
        <w:rPr/>
        <w:t xml:space="preserve"> “Triggering Event” shall mean:</w:t>
      </w:r>
    </w:p>
    <w:p>
      <w:pPr>
        <w:pStyle w:val="Heading2"/>
        <w:numPr>
          <w:ilvl w:val="0"/>
          <w:numId w:val="2"/>
        </w:numPr>
        <w:rPr/>
      </w:pPr>
      <w:r>
        <w:rPr/>
        <w:t>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w:t>
      </w:r>
    </w:p>
    <w:p>
      <w:pPr>
        <w:pStyle w:val="Heading2"/>
        <w:numPr>
          <w:ilvl w:val="0"/>
          <w:numId w:val="2"/>
        </w:numPr>
        <w:rPr/>
      </w:pPr>
      <w:r>
        <w:rPr/>
        <w:t>any representation or warranty made by the Affected Party in this Agreement shall prove to have been false or misleading in any material respect when made or deemed to be repeated; or</w:t>
      </w:r>
    </w:p>
    <w:p>
      <w:pPr>
        <w:pStyle w:val="Heading2"/>
        <w:numPr>
          <w:ilvl w:val="0"/>
          <w:numId w:val="2"/>
        </w:numPr>
        <w:rPr/>
      </w:pPr>
      <w:r>
        <w:rPr/>
        <w:t>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w:t>
      </w:r>
    </w:p>
    <w:p>
      <w:pPr>
        <w:pStyle w:val="Heading2"/>
        <w:numPr>
          <w:ilvl w:val="0"/>
          <w:numId w:val="2"/>
        </w:numPr>
        <w:rPr/>
      </w:pPr>
      <w:r>
        <w:rPr/>
        <w:t xml:space="preserve">the Affected Party or Customer’s Guarantor (with respect to Customer as the Affected Party) or Enron Canada’s Guarantor (with respect to Enron Canada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or (e) be unable to pay its debts as they fall due; or</w:t>
      </w:r>
    </w:p>
    <w:p>
      <w:pPr>
        <w:pStyle w:val="Heading2"/>
        <w:numPr>
          <w:ilvl w:val="0"/>
          <w:numId w:val="2"/>
        </w:numPr>
        <w:rPr/>
      </w:pPr>
      <w:r>
        <w:rPr/>
        <w:t xml:space="preserve">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affecting the Affected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w:t>
      </w:r>
    </w:p>
    <w:p>
      <w:pPr>
        <w:pStyle w:val="Heading2"/>
        <w:numPr>
          <w:ilvl w:val="0"/>
          <w:numId w:val="2"/>
        </w:numPr>
        <w:rPr/>
      </w:pPr>
      <w:r>
        <w:rPr/>
        <w:t>Seller's unexcused failure to deliver Buyer's Requested Quantity for thirty (30) Days, in the aggregate, in any twelve-Month period, or for ten (10) consecutive Days, in any one Transaction; or</w:t>
      </w:r>
    </w:p>
    <w:p>
      <w:pPr>
        <w:pStyle w:val="Heading2"/>
        <w:numPr>
          <w:ilvl w:val="0"/>
          <w:numId w:val="2"/>
        </w:numPr>
        <w:rPr/>
      </w:pPr>
      <w:r>
        <w:rPr/>
        <w:t>if a DCQ applies, Buyer’s unexcused failure to receive the DCQ for thirty (30) Days, in the aggregate, in any twelve-Month period, or for ten (10) consecutive Days, in any one Transaction, or if a MinPQ applies, Buyer's unexcused failure to receive the MinPQ for any two Months in any twelve-Month period, in any one Transaction; or</w:t>
      </w:r>
    </w:p>
    <w:p>
      <w:pPr>
        <w:pStyle w:val="Heading2"/>
        <w:numPr>
          <w:ilvl w:val="0"/>
          <w:numId w:val="2"/>
        </w:numPr>
        <w:rPr/>
      </w:pPr>
      <w:r>
        <w:rPr/>
        <w:t>the occurrence of a Material Adverse Change of the Affected Party; provided that such Material Adverse Change shall be deemed not to constitute a Triggering Event if the Affected Party establishes, and maintains throughout the term hereof, financial assurances acceptable to the Notifying Party at its sole discretion, including without limitation,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or other financial assurance shall be adjusted weekly to equal amounts owing at that time; or</w:t>
      </w:r>
    </w:p>
    <w:p>
      <w:pPr>
        <w:pStyle w:val="Heading2"/>
        <w:numPr>
          <w:ilvl w:val="0"/>
          <w:numId w:val="2"/>
        </w:numPr>
        <w:rPr/>
      </w:pPr>
      <w:r>
        <w:rPr/>
        <w:t>the Affected Party fails to establish, maintain, extend or increase a Letter of Credit or other financial assurance, as applicable, when required pursuant to this Agreement; or</w:t>
      </w:r>
    </w:p>
    <w:p>
      <w:pPr>
        <w:pStyle w:val="Heading2"/>
        <w:numPr>
          <w:ilvl w:val="0"/>
          <w:numId w:val="2"/>
        </w:numPr>
        <w:rPr/>
      </w:pPr>
      <w:r>
        <w:rPr/>
        <w:t xml:space="preserve">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$65 million</w:t>
      </w:r>
      <w:r>
        <w:rPr/>
        <w:t>; or with respect to Enron Canada, Enron Canada’s Guarantor shall have defaulted on its indebted</w:t>
        <w:softHyphen/>
        <w:t xml:space="preserve">ness to third parties, resulting in an Acceleration of Obligations of Enron Canada’s Guarantor in excess of </w:t>
      </w:r>
      <w:r>
        <w:rPr>
          <w:color w:val="0000FF"/>
        </w:rPr>
        <w:t>U.S. $100 million</w:t>
      </w:r>
      <w:r>
        <w:rPr/>
        <w:t>; or</w:t>
      </w:r>
    </w:p>
    <w:p>
      <w:pPr>
        <w:pStyle w:val="Heading2"/>
        <w:numPr>
          <w:ilvl w:val="0"/>
          <w:numId w:val="2"/>
        </w:numPr>
        <w:rPr/>
      </w:pPr>
      <w:r>
        <w:rPr/>
        <w:t>with respect to Customer, Customer’s Guarantor fails to perform any covenant set forth in the Guarantee Agreement it delivered in connection with this Agreement, as amended from time to time, or any representation or warranty made by Customer’s Guarantor in such Guarantee Agreement, as amended from time to time, shall prove to have been false or misleading in any material respect when made or deemed to have been repeated; or</w:t>
      </w:r>
    </w:p>
    <w:p>
      <w:pPr>
        <w:pStyle w:val="Heading2"/>
        <w:numPr>
          <w:ilvl w:val="0"/>
          <w:numId w:val="2"/>
        </w:numPr>
        <w:rPr/>
      </w:pPr>
      <w:r>
        <w:rPr/>
        <w:t>with respect to Enron Canada, Enron Canada’s Guarantor fails to perform any covenant set forth in the Guarantee Agreement it delivered in connection with this Agreement, as amended from time to time, or any representation or warranty made by Enron Canada’s Guarantor in such Guarantee Agreement, as amended from time to time, shall prove to have been false or misleading in any material respect when made or deemed to have been repeated.</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Other Events</w:t>
      </w:r>
      <w:r>
        <w:rPr/>
        <w:t>.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(i) renders the Affected Transaction illegal or incapable of being performed, or (ii) 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(a) if the Calculating Party is considered to have incurred a gain on the termination of the Affected Transaction(s), the Calculating Party shall pay one-half of such gain to the other Party; or (b)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Set-off</w:t>
      </w:r>
      <w:r>
        <w:rPr/>
        <w:t>.  Each Party reserves to itself all Set-offs, counter</w:t>
        <w:softHyphen/>
        <w:t xml:space="preserve">claims and other remedies and defenses which such Party is or may be entitled to arising from or out of this Agreement, at law or in equity.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Security</w:t>
      </w:r>
      <w:r>
        <w:rPr/>
        <w:t xml:space="preserve">. </w:t>
      </w:r>
    </w:p>
    <w:p>
      <w:pPr>
        <w:pStyle w:val="Justified"/>
        <w:rPr/>
      </w:pPr>
      <w:r>
        <w:rPr/>
        <w:tab/>
        <w:t>(i)</w:t>
        <w:tab/>
        <w:t xml:space="preserve">In order to secure, </w:t>
      </w:r>
      <w:r>
        <w:rPr>
          <w:i/>
        </w:rPr>
        <w:t>inter alia</w:t>
      </w:r>
      <w:r>
        <w:rPr/>
        <w:t>, all payment obligations of Enron Canada to Customer hereunder, Enron Canada has caused Enron Canada’s Guarantor to execute and deliver to Customer a guarantee agreement dated June 1, 1998 (the "1998 Enron Guarantee").  Concurrently with, and effective upon, the revocation of the 1998 Enron Guarantee for the purposes of securing all payment obligations of Enron Canada to Customer hereunder, Enron Canada shall cause Enron Canada’s Guarantor to execute and deliver to Customer a guarantee agreement, substantially in the form attached hereto as Exhibit "C", in order to replace the 1998 Enron Guarantee for the purposes of securing all payment obligations of Enron Canada to Customer hereunder (the “Replacement Enron Canada Guarantee”).</w:t>
      </w:r>
    </w:p>
    <w:p>
      <w:pPr>
        <w:pStyle w:val="Justified"/>
        <w:rPr/>
      </w:pPr>
      <w:r>
        <w:rPr/>
        <w:tab/>
        <w:t>(ii)</w:t>
        <w:tab/>
        <w:t xml:space="preserve">In order to secure, </w:t>
      </w:r>
      <w:r>
        <w:rPr>
          <w:i/>
        </w:rPr>
        <w:t>inter alia</w:t>
      </w:r>
      <w:r>
        <w:rPr/>
        <w:t>, all payment obligations of Customer to Enron Canada hereunder, Customer has caused The Coastal Corporation to execute and deliver to Enron Canada a guarantee agreement dated effective as of February 9, 1998 (the "1998 Coastal Guarantee").  Concurrently with, and effective upon, the revocation of the 1998 Coastal Guarantee for the purposes of securing all payment obligations of Customer to Enron Canada hereunder, Customer shall cause Customer’s Guarantor to execute and deliver to Enron Canada a guarantee agreement, substantially in the form attached hereto as Exhibit "D", in order to replace the 1998 Coastal Guarantee for the purposes of securing all payment obligations of Customer to Enron Canada hereunder (the “Replacement Customer Guarantee”).</w:t>
      </w:r>
    </w:p>
    <w:p>
      <w:pPr>
        <w:pStyle w:val="Heading1"/>
        <w:ind w:hanging="0" w:start="0"/>
        <w:rPr/>
      </w:pPr>
      <w:bookmarkStart w:id="10" w:name="__RefHeading___Toc503854392"/>
      <w:bookmarkEnd w:id="10"/>
      <w:r>
        <w:rPr/>
        <w:t xml:space="preserve">ARTICLE </w:t>
      </w:r>
      <w:r>
        <w:rPr/>
        <w:fldChar w:fldCharType="begin"/>
      </w:r>
      <w:r>
        <w:rPr/>
        <w:instrText xml:space="preserve"> SEQ AutoNr \* ARABIC </w:instrText>
      </w:r>
      <w:r>
        <w:rPr/>
        <w:fldChar w:fldCharType="separate"/>
      </w:r>
      <w:r>
        <w:rPr/>
        <w:t>43</w:t>
      </w:r>
      <w:r>
        <w:rPr/>
        <w:fldChar w:fldCharType="end"/>
      </w:r>
      <w:r>
        <w:rPr/>
        <w:br/>
        <w:t>exposure thresholds; collateral requirement</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Customer’s Exposure Threshold; Collateral Requirement.</w:t>
      </w:r>
      <w:r>
        <w:rPr/>
        <w:t xml:space="preserve">  If at any time and from time to time during the term of this Agreement (and notwithstanding whether a Triggering Event has occurred), the amount of Early Termination Damages that would be owed by Customer to Enron Canada, plus all amounts owed but not yet paid by Customer (whether or not such amounts are then due) pursuant to any and all Transactions (collectively, “Customer’s Exposure Amount”) exceeds </w:t>
      </w:r>
      <w:r>
        <w:rPr>
          <w:color w:val="0000FF"/>
        </w:rPr>
        <w:t>U.S.</w:t>
      </w:r>
      <w:r>
        <w:rPr/>
        <w:t xml:space="preserve"> </w:t>
      </w:r>
      <w:r>
        <w:rPr>
          <w:color w:val="0000FF"/>
        </w:rPr>
        <w:t>$10 million</w:t>
      </w:r>
      <w:r>
        <w:rPr/>
        <w:t xml:space="preserve">, then Enron Canada may by notice require Customer (i) to deliver to Enron Canada a Letter of Credit in an amount equal to Customer’s Collateral Amount (defined below), or (ii) to deliver to Enron Canada such other collateral as may be reasonably acceptable to Enron Canada.  Customer shall deliver to Enron Canada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amount by which the Customer’s Exposure Amount exceeds </w:t>
      </w:r>
      <w:r>
        <w:rPr>
          <w:color w:val="0000FF"/>
        </w:rPr>
        <w:t>U.S. $10 million,</w:t>
      </w:r>
      <w:r>
        <w:rPr/>
        <w:t xml:space="preserve"> rounded upwards to the next U.S. $250,000.</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Enron Canada’s Exposure Threshold; Collateral Requirement.</w:t>
      </w:r>
      <w:r>
        <w:rPr/>
        <w:t xml:space="preserve">  If at any time and from time to time during the term of this Agreement (and notwithstanding whether a Triggering Event has occurred), the amount of Early Termination Damages that would be owed by Enron Canada to Customer, plus all amounts owed but not yet paid by Enron Canada (whether or not such amounts are then due) pursuant to any and all Transactions (collectively, “Enron Canada’s Exposure Amount”) exceeds</w:t>
      </w:r>
      <w:r>
        <w:rPr>
          <w:color w:val="0000FF"/>
        </w:rPr>
        <w:t xml:space="preserve"> U.S.</w:t>
      </w:r>
      <w:r>
        <w:rPr/>
        <w:t xml:space="preserve"> </w:t>
      </w:r>
      <w:r>
        <w:rPr>
          <w:color w:val="0000FF"/>
        </w:rPr>
        <w:t>$10 million</w:t>
      </w:r>
      <w:r>
        <w:rPr/>
        <w:t xml:space="preserve">, then Customer may by notice require Enron Canada (i) to deliver to Customer a Letter of Credit in an amount equal to Enron Canada’s Collateral Amount (defined below), or (ii) to deliver to Customer such other collateral as may be reasonably acceptable to Customer.  Enron Canada shall deliver to Customer the Letter of Credit or other collateral within two (2) Business Days of the date of such notice.  On a weekly basis, such Letter of Credit or other collateral shall be increased or reduced, as applicable, to the then current Enron Canada’s Collateral Amount.  “Enron Canada’s Collateral Amount” means the amount by which Enron Canada’s Exposure Amount exceeds </w:t>
      </w:r>
      <w:r>
        <w:rPr>
          <w:color w:val="0000FF"/>
        </w:rPr>
        <w:t>U.S. $10 million,</w:t>
      </w:r>
      <w:r>
        <w:rPr/>
        <w:t xml:space="preserve"> rounded upwards to the next U.S. $250,000.</w:t>
      </w:r>
    </w:p>
    <w:p>
      <w:pPr>
        <w:pStyle w:val="Heading1"/>
        <w:ind w:hanging="0" w:start="0"/>
        <w:rPr/>
      </w:pPr>
      <w:bookmarkStart w:id="11" w:name="__RefHeading___Toc503854393"/>
      <w:bookmarkEnd w:id="11"/>
      <w:r>
        <w:rPr/>
        <w:t xml:space="preserve">ARTICLE </w:t>
      </w:r>
      <w:r>
        <w:rPr/>
        <w:fldChar w:fldCharType="begin"/>
      </w:r>
      <w:r>
        <w:rPr/>
        <w:instrText xml:space="preserve"> SEQ AutoNr \* ARABIC </w:instrText>
      </w:r>
      <w:r>
        <w:rPr/>
        <w:fldChar w:fldCharType="separate"/>
      </w:r>
      <w:r>
        <w:rPr/>
        <w:t>46</w:t>
      </w:r>
      <w:r>
        <w:rPr/>
        <w:fldChar w:fldCharType="end"/>
      </w:r>
      <w:r>
        <w:rPr/>
        <w:br/>
        <w:t>NOTICES</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5:00 p.m. (MST) on the Business Day on which it was trans</w:t>
        <w:softHyphen/>
        <w:t>mitted or if sent after 5:00 p.m. (MST), at 8:00 a.m. (MST) on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by 5:00 p.m. (MST) on the fourth Business Day after the date of mailing by prepaid registered mail, except that when there is a strike affecting delivery of mail, all notices shall be delivered by courier or by facsimile.</w:t>
      </w:r>
    </w:p>
    <w:p>
      <w:pPr>
        <w:pStyle w:val="Heading1"/>
        <w:ind w:hanging="0" w:start="0"/>
        <w:rPr/>
      </w:pPr>
      <w:bookmarkStart w:id="12" w:name="__RefHeading___Toc503854394"/>
      <w:bookmarkEnd w:id="12"/>
      <w:r>
        <w:rPr/>
        <w:t xml:space="preserve">ARTICLE </w:t>
      </w:r>
      <w:r>
        <w:rPr/>
        <w:fldChar w:fldCharType="begin"/>
      </w:r>
      <w:r>
        <w:rPr/>
        <w:instrText xml:space="preserve"> SEQ AutoNr \* ARABIC </w:instrText>
      </w:r>
      <w:r>
        <w:rPr/>
        <w:fldChar w:fldCharType="separate"/>
      </w:r>
      <w:r>
        <w:rPr/>
        <w:t>48</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(i) transfer, sell, pledge, encumber or assign this Agreement or the accounts, revenues or proceeds hereof in connection with any financing or other financial arrangements, (ii) transfer or assign its interest hereunder to any of its Affiliates, or (iii) transfer or assign this Agreement to any person or entity succeeding to all or substantially all of the assets of such Party, all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bookmarkStart w:id="13" w:name="__RefHeading___Toc503854395"/>
      <w:bookmarkEnd w:id="13"/>
      <w:r>
        <w:rPr/>
        <w:t xml:space="preserve">ARTICLE </w:t>
      </w:r>
      <w:r>
        <w:rPr/>
        <w:fldChar w:fldCharType="begin"/>
      </w:r>
      <w:r>
        <w:rPr/>
        <w:instrText xml:space="preserve"> SEQ AutoNr \* ARABIC </w:instrText>
      </w:r>
      <w:r>
        <w:rPr/>
        <w:fldChar w:fldCharType="separate"/>
      </w:r>
      <w:r>
        <w:rPr/>
        <w:t>52</w:t>
      </w:r>
      <w:r>
        <w:rPr/>
        <w:fldChar w:fldCharType="end"/>
      </w:r>
      <w:r>
        <w:rPr/>
        <w:br/>
        <w:t>FORCE MAJEURE</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Suspension for Force Majeure</w:t>
      </w:r>
      <w:r>
        <w:rPr/>
        <w:t>.  Except for Section 9.4 and Section 10.1,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54</w:t>
      </w:r>
      <w:r>
        <w:rPr/>
        <w:fldChar w:fldCharType="end"/>
      </w:r>
      <w:r>
        <w:rPr>
          <w:rFonts w:eastAsia="Arial"/>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55</w:t>
      </w:r>
      <w:r>
        <w:rPr/>
        <w:fldChar w:fldCharType="end"/>
      </w:r>
      <w:r>
        <w:rPr>
          <w:rFonts w:eastAsia="Arial"/>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bookmarkStart w:id="14" w:name="__RefHeading___Toc503854396"/>
      <w:bookmarkEnd w:id="14"/>
      <w:r>
        <w:rPr/>
        <w:t xml:space="preserve">ARTICLE </w:t>
      </w:r>
      <w:r>
        <w:rPr/>
        <w:fldChar w:fldCharType="begin"/>
      </w:r>
      <w:r>
        <w:rPr/>
        <w:instrText xml:space="preserve"> SEQ AutoNr \* ARABIC </w:instrText>
      </w:r>
      <w:r>
        <w:rPr/>
        <w:fldChar w:fldCharType="separate"/>
      </w:r>
      <w:r>
        <w:rPr/>
        <w:t>56</w:t>
      </w:r>
      <w:r>
        <w:rPr/>
        <w:fldChar w:fldCharType="end"/>
      </w:r>
      <w:r>
        <w:rPr/>
        <w:br/>
        <w:t>TAXES</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New Taxes</w:t>
      </w:r>
      <w:r>
        <w:rPr/>
        <w:t>.</w:t>
        <w:tab/>
      </w:r>
    </w:p>
    <w:p>
      <w:pPr>
        <w:pStyle w:val="Heading2"/>
        <w:rPr/>
      </w:pPr>
      <w:r>
        <w:rPr/>
        <w:t>(i)</w:t>
        <w:tab/>
        <w:t xml:space="preserve">If (a) a New Tax is imposed on the purchase and sale of Gas under any Transaction (the “New Tax Transaction”) and (b) Buyer or Seller would be responsible for such New Tax if it were a Tax under Section 15.1 and (c)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Section 15.3(i) shall not apply.  </w:t>
      </w:r>
    </w:p>
    <w:p>
      <w:pPr>
        <w:pStyle w:val="Justified"/>
        <w:rPr/>
      </w:pPr>
      <w:r>
        <w:rPr/>
        <w:tab/>
        <w:t xml:space="preserve">(ii) </w:t>
        <w:tab/>
        <w:t>If (a) a New Tax is imposed on the purchase and sale of Gas under any Transaction(s), and (b) either Buyer or Seller would be responsible for such New Tax if it were a Tax under Section 15.1 and (iii) Section 15.3(i)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15.3(ii)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(a) if the non-Taxed Party is considered to have incurred a gain on the termination of the New Tax Transaction(s), the non-Taxed Party shall pay one-half of such gain to the Taxed Party; or (b)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bookmarkStart w:id="15" w:name="__RefHeading___Toc503854397"/>
      <w:bookmarkEnd w:id="15"/>
      <w:r>
        <w:rPr/>
        <w:t xml:space="preserve">ARTICLE </w:t>
      </w:r>
      <w:r>
        <w:rPr/>
        <w:fldChar w:fldCharType="begin"/>
      </w:r>
      <w:r>
        <w:rPr/>
        <w:instrText xml:space="preserve"> SEQ AutoNr \* ARABIC </w:instrText>
      </w:r>
      <w:r>
        <w:rPr/>
        <w:fldChar w:fldCharType="separate"/>
      </w:r>
      <w:r>
        <w:rPr/>
        <w:t>61</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Correction of Imbalances</w:t>
      </w:r>
      <w:r>
        <w:rPr/>
        <w:t>.  Differences between (i) quantities of Gas properly nominated in accordance with this Agreement and (ii)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bookmarkStart w:id="16" w:name="__RefHeading___Toc503854398"/>
      <w:bookmarkEnd w:id="16"/>
      <w:r>
        <w:rPr/>
        <w:t xml:space="preserve">ARTICLE </w:t>
      </w:r>
      <w:r>
        <w:rPr/>
        <w:fldChar w:fldCharType="begin"/>
      </w:r>
      <w:r>
        <w:rPr/>
        <w:instrText xml:space="preserve"> SEQ AutoNr \* ARABIC </w:instrText>
      </w:r>
      <w:r>
        <w:rPr/>
        <w:fldChar w:fldCharType="separate"/>
      </w:r>
      <w:r>
        <w:rPr/>
        <w:t>64</w:t>
      </w:r>
      <w:r>
        <w:rPr/>
        <w:fldChar w:fldCharType="end"/>
      </w:r>
      <w:r>
        <w:rPr/>
        <w:br/>
        <w:t>MISCELLANEOUS</w:t>
      </w:r>
    </w:p>
    <w:p>
      <w:pPr>
        <w:pStyle w:val="Justified"/>
        <w:ind w:firstLine="720" w:end="0"/>
        <w:rPr/>
      </w:pPr>
      <w:r>
        <w:rPr/>
        <w:fldChar w:fldCharType="begin"/>
      </w:r>
      <w:r>
        <w:rPr/>
        <w:instrText xml:space="preserve"> SEQ AutoNr \* ARABIC </w:instrText>
      </w:r>
      <w:r>
        <w:rPr/>
        <w:fldChar w:fldCharType="separate"/>
      </w:r>
      <w:r>
        <w:rPr/>
        <w:t>65</w:t>
      </w:r>
      <w:r>
        <w:rPr/>
        <w:fldChar w:fldCharType="end"/>
      </w:r>
      <w:r>
        <w:rPr/>
        <w:tab/>
      </w:r>
      <w:r>
        <w:rPr>
          <w:u w:val="single"/>
        </w:rPr>
        <w:t>Limitation of Liability and Damages</w:t>
      </w:r>
      <w:r>
        <w:rPr/>
        <w:t xml:space="preserve">.  The Parties confirm that the express remedies and measures of damages provided in this Agreement satisfy the essential purposes hereof.  For breach of any provision of this Agreement for which an express remedy or measure of damages is provided herein (including, without limitation, pursuant to Sections 6.2, 6.4, 10.1, 10.2 or 10.4 or Article 15 or Section 17.11),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indirect, incidental, exemplary or punitive damages, in tort, contract or otherwise.  To the extent any payment is required to be made pursuant to Sections 6.2, 6.4, 10.1, 10.2 or 10.4 or Article 15 or Section 17.11, the Parties acknowledge that the damages are difficult or impossible to determine and that such payment constitutes liquidated damages as a reasonable estimate of the amount of damages. </w:t>
      </w:r>
    </w:p>
    <w:p>
      <w:pPr>
        <w:pStyle w:val="Justified"/>
        <w:ind w:firstLine="720" w:end="0"/>
        <w:rPr/>
      </w:pPr>
      <w:r>
        <w:rPr/>
        <w:fldChar w:fldCharType="begin"/>
      </w:r>
      <w:r>
        <w:rPr/>
        <w:instrText xml:space="preserve"> SEQ AutoNr \* ARABIC </w:instrText>
      </w:r>
      <w:r>
        <w:rPr/>
        <w:fldChar w:fldCharType="separate"/>
      </w:r>
      <w:r>
        <w:rPr/>
        <w:t>66</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Justified"/>
        <w:ind w:firstLine="720" w:end="0"/>
        <w:rPr/>
      </w:pPr>
      <w:r>
        <w:rPr/>
        <w:fldChar w:fldCharType="begin"/>
      </w:r>
      <w:r>
        <w:rPr/>
        <w:instrText xml:space="preserve"> SEQ AutoNr \* ARABIC </w:instrText>
      </w:r>
      <w:r>
        <w:rPr/>
        <w:fldChar w:fldCharType="separate"/>
      </w:r>
      <w:r>
        <w:rPr/>
        <w:t>67</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(i) conformity to models or samples, (ii) merchantability, or (iii) fitness for any particular purpose.  </w:t>
      </w:r>
    </w:p>
    <w:p>
      <w:pPr>
        <w:pStyle w:val="Justified"/>
        <w:ind w:firstLine="720" w:end="0"/>
        <w:rPr/>
      </w:pPr>
      <w:r>
        <w:rPr/>
        <w:fldChar w:fldCharType="begin"/>
      </w:r>
      <w:r>
        <w:rPr/>
        <w:instrText xml:space="preserve"> SEQ AutoNr \* ARABIC </w:instrText>
      </w:r>
      <w:r>
        <w:rPr/>
        <w:fldChar w:fldCharType="separate"/>
      </w:r>
      <w:r>
        <w:rPr/>
        <w:t>68</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Justified"/>
        <w:ind w:firstLine="720" w:end="0"/>
        <w:rPr/>
      </w:pPr>
      <w:r>
        <w:rPr/>
        <w:fldChar w:fldCharType="begin"/>
      </w:r>
      <w:r>
        <w:rPr/>
        <w:instrText xml:space="preserve"> SEQ AutoNr \* ARABIC </w:instrText>
      </w:r>
      <w:r>
        <w:rPr/>
        <w:fldChar w:fldCharType="separate"/>
      </w:r>
      <w:r>
        <w:rPr/>
        <w:t>69</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Justified"/>
        <w:ind w:firstLine="720" w:end="0"/>
        <w:rPr/>
      </w:pPr>
      <w:r>
        <w:rPr/>
        <w:fldChar w:fldCharType="begin"/>
      </w:r>
      <w:r>
        <w:rPr/>
        <w:instrText xml:space="preserve"> SEQ AutoNr \* ARABIC </w:instrText>
      </w:r>
      <w:r>
        <w:rPr/>
        <w:fldChar w:fldCharType="separate"/>
      </w:r>
      <w:r>
        <w:rPr/>
        <w:t>70</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Justified"/>
        <w:ind w:firstLine="720" w:end="0"/>
        <w:rPr/>
      </w:pPr>
      <w:r>
        <w:rPr/>
        <w:fldChar w:fldCharType="begin"/>
      </w:r>
      <w:r>
        <w:rPr/>
        <w:instrText xml:space="preserve"> SEQ AutoNr \* ARABIC </w:instrText>
      </w:r>
      <w:r>
        <w:rPr/>
        <w:fldChar w:fldCharType="separate"/>
      </w:r>
      <w:r>
        <w:rPr/>
        <w:t>71</w:t>
      </w:r>
      <w:r>
        <w:rPr/>
        <w:fldChar w:fldCharType="end"/>
      </w:r>
      <w:r>
        <w:rPr/>
        <w:tab/>
      </w:r>
      <w:r>
        <w:rPr>
          <w:u w:val="single"/>
        </w:rPr>
        <w:t>Exclusion of Third Party Rights</w:t>
      </w:r>
      <w:r>
        <w:rPr/>
        <w:t xml:space="preserve">.  The provisions of this Agreement shall not impart rights enforceable by any person, firm or organization not either a Party to this Agreement or a successor or permitted assignee of a Party.  </w:t>
      </w:r>
    </w:p>
    <w:p>
      <w:pPr>
        <w:pStyle w:val="Justified"/>
        <w:ind w:firstLine="720" w:end="0"/>
        <w:rPr/>
      </w:pPr>
      <w:r>
        <w:rPr/>
        <w:fldChar w:fldCharType="begin"/>
      </w:r>
      <w:r>
        <w:rPr/>
        <w:instrText xml:space="preserve"> SEQ AutoNr \* ARABIC </w:instrText>
      </w:r>
      <w:r>
        <w:rPr/>
        <w:fldChar w:fldCharType="separate"/>
      </w:r>
      <w:r>
        <w:rPr/>
        <w:t>72</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Justified"/>
        <w:ind w:firstLine="720" w:end="0"/>
        <w:rPr/>
      </w:pPr>
      <w:r>
        <w:rPr/>
        <w:fldChar w:fldCharType="begin"/>
      </w:r>
      <w:r>
        <w:rPr/>
        <w:instrText xml:space="preserve"> SEQ AutoNr \* ARABIC </w:instrText>
      </w:r>
      <w:r>
        <w:rPr/>
        <w:fldChar w:fldCharType="separate"/>
      </w:r>
      <w:r>
        <w:rPr/>
        <w:t>73</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Justified"/>
        <w:ind w:firstLine="720" w:end="0"/>
        <w:rPr/>
      </w:pPr>
      <w:r>
        <w:rPr/>
        <w:fldChar w:fldCharType="begin"/>
      </w:r>
      <w:r>
        <w:rPr/>
        <w:instrText xml:space="preserve"> SEQ AutoNr \* ARABIC </w:instrText>
      </w:r>
      <w:r>
        <w:rPr/>
        <w:fldChar w:fldCharType="separate"/>
      </w:r>
      <w:r>
        <w:rPr/>
        <w:t>74</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Justified"/>
        <w:ind w:firstLine="720" w:end="0"/>
        <w:rPr/>
      </w:pPr>
      <w:r>
        <w:rPr/>
        <w:fldChar w:fldCharType="begin"/>
      </w:r>
      <w:r>
        <w:rPr/>
        <w:instrText xml:space="preserve"> SEQ AutoNr \* ARABIC </w:instrText>
      </w:r>
      <w:r>
        <w:rPr/>
        <w:fldChar w:fldCharType="separate"/>
      </w:r>
      <w:r>
        <w:rPr/>
        <w:t>75</w:t>
      </w:r>
      <w:r>
        <w:rPr/>
        <w:fldChar w:fldCharType="end"/>
      </w:r>
      <w:r>
        <w:rPr/>
        <w:tab/>
      </w:r>
      <w:r>
        <w:rPr>
          <w:u w:val="single"/>
        </w:rPr>
        <w:t>Confidentiality</w:t>
      </w:r>
      <w:r>
        <w:rPr/>
        <w:t>.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exchange rule or to effectuate transportation of Gas hereunder; provided, each Party shall notify the other Party of any proceeding of which it is aware which may result in disclosure and use reasonable efforts to prevent or limit the disclosure.  The provisions of this Agreement, other than the terms of any Transaction, the monetary values stated in Section 10.3(x) or Article 11 hereof and the monetary values stated in Section 2 of each of the Replacement Enron Canada Guarantee and the Replacement Customer Guarantee, are not subject to this confidentiality obligation.  The Parties shall be entitled to all remedies available at law or in equity to enforce, or seek relief in connection with, this confidentiality obligation; provided, all monetary damages shall be limited in accordance with Section 17.1.</w:t>
      </w:r>
    </w:p>
    <w:p>
      <w:pPr>
        <w:pStyle w:val="Justified"/>
        <w:ind w:firstLine="720" w:end="0"/>
        <w:rPr/>
      </w:pPr>
      <w:r>
        <w:rPr/>
        <w:fldChar w:fldCharType="begin"/>
      </w:r>
      <w:r>
        <w:rPr/>
        <w:instrText xml:space="preserve"> SEQ AutoNr \* ARABIC </w:instrText>
      </w:r>
      <w:r>
        <w:rPr/>
        <w:fldChar w:fldCharType="separate"/>
      </w:r>
      <w:r>
        <w:rPr/>
        <w:t>76</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and each Party hereby submits to the non-exclusive jurisdiction of the courts of the Province of Alberta.  </w:t>
      </w:r>
    </w:p>
    <w:p>
      <w:pPr>
        <w:pStyle w:val="Heading2"/>
        <w:rPr/>
      </w:pPr>
      <w:r>
        <w:rPr/>
        <w:t>17.13.</w:t>
        <w:tab/>
      </w:r>
      <w:r>
        <w:rPr>
          <w:u w:val="single"/>
        </w:rPr>
        <w:t>Eligible Financial Contract</w:t>
      </w:r>
      <w:r>
        <w:rPr/>
        <w:t xml:space="preserve">.  This Agreement, all Transactions under this Agreement, and any guarantee thereof by Customer’s Guarantor or Enron Canada’s Guarantor, as applicable, each and together constitute an “eligible financial contract” under and in all proceedings related to the </w:t>
      </w:r>
      <w:r>
        <w:rPr>
          <w:i/>
          <w:u w:val="single"/>
        </w:rPr>
        <w:t>Bankruptcy and Insolvency Act</w:t>
      </w:r>
      <w:r>
        <w:rPr/>
        <w:t xml:space="preserve"> (Canada), the</w:t>
      </w:r>
      <w:r>
        <w:rPr>
          <w:i/>
        </w:rPr>
        <w:t xml:space="preserve"> </w:t>
      </w:r>
      <w:r>
        <w:rPr>
          <w:i/>
          <w:u w:val="single"/>
        </w:rPr>
        <w:t>Companies’ Creditors Arrangement Act</w:t>
      </w:r>
      <w:r>
        <w:rPr/>
        <w:t xml:space="preserve"> (Canada)</w:t>
      </w:r>
      <w:r>
        <w:rPr>
          <w:i/>
        </w:rPr>
        <w:t xml:space="preserve"> </w:t>
      </w:r>
      <w:r>
        <w:rPr/>
        <w:t xml:space="preserve">or the </w:t>
      </w:r>
      <w:r>
        <w:rPr>
          <w:i/>
          <w:u w:val="single"/>
        </w:rPr>
        <w:t>Winding-up and Restructuring Act</w:t>
      </w:r>
      <w:r>
        <w:rPr/>
        <w:t xml:space="preserve">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Heading2"/>
        <w:rPr/>
      </w:pPr>
      <w:r>
        <w:rPr/>
        <w:t>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Justified"/>
        <w:ind w:firstLine="720" w:end="0"/>
        <w:rPr/>
      </w:pPr>
      <w:r>
        <w:rPr>
          <w:color w:val="0000FF"/>
        </w:rPr>
        <w:t>17.15.</w:t>
        <w:tab/>
      </w:r>
      <w:r>
        <w:rPr>
          <w:color w:val="0000FF"/>
          <w:u w:val="single"/>
        </w:rPr>
        <w:t>Prior Master Firm Gas Purchase/Sale Agreement</w:t>
      </w:r>
      <w:r>
        <w:rPr>
          <w:color w:val="0000FF"/>
        </w:rPr>
        <w:t>.  This Agreement amends, restates, supercedes and replaces in all respects the Prior Master Agreement effective as of the Effective Date, with the effect and purpose that, from and after the Effective Date, any and all Transactions outstanding under the Prior Master Agreement, as well as any and all Transactions made and entered into from time to time under and pursuant to this Agreement, shall be, and shall be deemed to be, Transactions outstanding under, and subject to the terms and conditions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left" w:pos="720" w:leader="none"/>
          <w:tab w:val="left" w:pos="2016" w:leader="none"/>
          <w:tab w:val="left" w:pos="2880" w:leader="none"/>
          <w:tab w:val="left" w:pos="3744" w:leader="none"/>
          <w:tab w:val="left" w:pos="5760" w:leader="none"/>
        </w:tabs>
        <w:jc w:val="both"/>
        <w:rPr/>
      </w:pPr>
      <w:r>
        <w:rPr/>
      </w:r>
    </w:p>
    <w:p>
      <w:pPr>
        <w:pStyle w:val="Normal"/>
        <w:tabs>
          <w:tab w:val="left" w:pos="720"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CANADA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tcBorders>
          </w:tcPr>
          <w:p>
            <w:pPr>
              <w:pStyle w:val="Justified"/>
              <w:spacing w:before="0" w:after="0"/>
              <w:rPr/>
            </w:pPr>
            <w:r>
              <w:rPr/>
              <w:t>P. Robson Milnthorp</w:t>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tcPr>
          <w:p>
            <w:pPr>
              <w:pStyle w:val="Normal"/>
              <w:jc w:val="both"/>
              <w:rPr>
                <w:color w:val="0000FF"/>
              </w:rPr>
            </w:pPr>
            <w:r>
              <w:rPr>
                <w:color w:val="0000FF"/>
              </w:rPr>
              <w:t>President and Chief Executive Officer</w:t>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 xml:space="preserve">ENGAGE ENERGY CANADA, L.P. </w:t>
            </w:r>
            <w:r>
              <w:rPr>
                <w:b/>
                <w:color w:val="0000FF"/>
              </w:rPr>
              <w:t>by its general partner</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headerReference w:type="default" r:id="rId5"/>
          <w:headerReference w:type="first" r:id="rId6"/>
          <w:footerReference w:type="default" r:id="rId7"/>
          <w:footerReference w:type="first" r:id="rId8"/>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THE AMENDED AND RESTATED MASTER FIRM GAS PURCHASE/SALE AGREEMENT BETWEEN ENRON CANADA CORP. AND </w:t>
      </w:r>
    </w:p>
    <w:p>
      <w:pPr>
        <w:pStyle w:val="Normal"/>
        <w:ind w:start="720" w:end="720"/>
        <w:jc w:val="center"/>
        <w:rPr>
          <w:b/>
          <w:caps/>
          <w:color w:val="0000FF"/>
        </w:rPr>
      </w:pPr>
      <w:r>
        <w:rPr>
          <w:b/>
          <w:caps/>
          <w:color w:val="0000FF"/>
        </w:rPr>
        <w:t>ENGAGE ENERGY CANADA, L.P.</w:t>
      </w:r>
      <w:r>
        <w:rPr>
          <w:b/>
          <w:caps/>
        </w:rPr>
        <w:t xml:space="preserve"> DATED jANUARY 4, 2001</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sz w:val="18"/>
        </w:rPr>
      </w:pPr>
      <w:r>
        <w:rPr>
          <w:b/>
          <w:sz w:val="18"/>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sz w:val="18"/>
              </w:rPr>
            </w:pPr>
            <w:r>
              <w:rPr>
                <w:sz w:val="18"/>
              </w:rPr>
              <w:t>NOTICES TO ENRON CANADA:</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rPr>
                <w:sz w:val="18"/>
              </w:rPr>
            </w:pPr>
            <w:r>
              <w:rPr>
                <w:sz w:val="18"/>
              </w:rPr>
              <w:t>NOTICES TO CUSTOMER:</w:t>
            </w:r>
          </w:p>
        </w:tc>
      </w:tr>
      <w:tr>
        <w:trPr/>
        <w:tc>
          <w:tcPr>
            <w:tcW w:w="4767" w:type="dxa"/>
            <w:tcBorders/>
          </w:tcPr>
          <w:p>
            <w:pPr>
              <w:pStyle w:val="Normal"/>
              <w:tabs>
                <w:tab w:val="clear" w:pos="720"/>
                <w:tab w:val="center" w:pos="4680" w:leader="none"/>
              </w:tabs>
              <w:jc w:val="both"/>
              <w:rPr>
                <w:b/>
                <w:sz w:val="18"/>
              </w:rPr>
            </w:pPr>
            <w:r>
              <w:rPr>
                <w:sz w:val="18"/>
              </w:rPr>
              <w:t>Enron Canada Corp.</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jc w:val="both"/>
              <w:rPr>
                <w:color w:val="0000FF"/>
                <w:sz w:val="18"/>
              </w:rPr>
            </w:pPr>
            <w:r>
              <w:rPr>
                <w:color w:val="0000FF"/>
                <w:sz w:val="18"/>
              </w:rPr>
              <w:t>Engage Energy Canada, L.P.</w:t>
            </w:r>
          </w:p>
        </w:tc>
      </w:tr>
      <w:tr>
        <w:trPr/>
        <w:tc>
          <w:tcPr>
            <w:tcW w:w="4767" w:type="dxa"/>
            <w:tcBorders/>
          </w:tcPr>
          <w:p>
            <w:pPr>
              <w:pStyle w:val="Normal"/>
              <w:tabs>
                <w:tab w:val="clear" w:pos="720"/>
                <w:tab w:val="center" w:pos="4680" w:leader="none"/>
              </w:tabs>
              <w:jc w:val="both"/>
              <w:rPr>
                <w:b/>
                <w:sz w:val="18"/>
              </w:rPr>
            </w:pPr>
            <w:r>
              <w:rPr>
                <w:sz w:val="18"/>
              </w:rPr>
              <w:t>Suite 3500, Canterra Tower</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op w:val="single" w:sz="6" w:space="0" w:color="000000"/>
            </w:tcBorders>
          </w:tcPr>
          <w:p>
            <w:pPr>
              <w:pStyle w:val="Normal"/>
              <w:tabs>
                <w:tab w:val="clear" w:pos="720"/>
                <w:tab w:val="center" w:pos="4680" w:leader="none"/>
              </w:tabs>
              <w:jc w:val="both"/>
              <w:rPr/>
            </w:pPr>
            <w:r>
              <w:rPr>
                <w:color w:val="0000FF"/>
                <w:sz w:val="18"/>
              </w:rPr>
              <w:t>1100, 421 – 7</w:t>
            </w:r>
            <w:r>
              <w:rPr>
                <w:color w:val="0000FF"/>
                <w:sz w:val="18"/>
                <w:vertAlign w:val="superscript"/>
              </w:rPr>
              <w:t>th</w:t>
            </w:r>
            <w:r>
              <w:rPr>
                <w:color w:val="0000FF"/>
                <w:sz w:val="18"/>
              </w:rPr>
              <w:t xml:space="preserve"> Avenue S.W.</w:t>
            </w:r>
          </w:p>
        </w:tc>
      </w:tr>
      <w:tr>
        <w:trPr/>
        <w:tc>
          <w:tcPr>
            <w:tcW w:w="4767" w:type="dxa"/>
            <w:tcBorders/>
          </w:tcPr>
          <w:p>
            <w:pPr>
              <w:pStyle w:val="Normal"/>
              <w:tabs>
                <w:tab w:val="clear" w:pos="720"/>
                <w:tab w:val="center" w:pos="4680" w:leader="none"/>
              </w:tabs>
              <w:jc w:val="both"/>
              <w:rPr>
                <w:b/>
                <w:sz w:val="18"/>
              </w:rPr>
            </w:pPr>
            <w:r>
              <w:rPr>
                <w:sz w:val="18"/>
              </w:rPr>
              <w:t>400 - 3</w:t>
            </w:r>
            <w:r>
              <w:rPr>
                <w:sz w:val="18"/>
                <w:vertAlign w:val="superscript"/>
              </w:rPr>
              <w:t>rd</w:t>
            </w:r>
            <w:r>
              <w:rPr>
                <w:sz w:val="18"/>
              </w:rPr>
              <w:t xml:space="preserve"> Avenue S.W. </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op w:val="single" w:sz="6" w:space="0" w:color="000000"/>
              <w:bottom w:val="single" w:sz="4" w:space="0" w:color="000000"/>
            </w:tcBorders>
          </w:tcPr>
          <w:p>
            <w:pPr>
              <w:pStyle w:val="Normal"/>
              <w:tabs>
                <w:tab w:val="clear" w:pos="720"/>
                <w:tab w:val="center" w:pos="4680" w:leader="none"/>
              </w:tabs>
              <w:jc w:val="both"/>
              <w:rPr>
                <w:color w:val="0000FF"/>
                <w:sz w:val="18"/>
              </w:rPr>
            </w:pPr>
            <w:r>
              <w:rPr>
                <w:color w:val="0000FF"/>
                <w:sz w:val="18"/>
              </w:rPr>
              <w:t xml:space="preserve">Calgary, Alberta </w:t>
            </w:r>
          </w:p>
        </w:tc>
      </w:tr>
      <w:tr>
        <w:trPr/>
        <w:tc>
          <w:tcPr>
            <w:tcW w:w="4767" w:type="dxa"/>
            <w:tcBorders/>
          </w:tcPr>
          <w:p>
            <w:pPr>
              <w:pStyle w:val="Normal"/>
              <w:tabs>
                <w:tab w:val="clear" w:pos="720"/>
                <w:tab w:val="center" w:pos="4680" w:leader="none"/>
              </w:tabs>
              <w:jc w:val="both"/>
              <w:rPr>
                <w:b/>
                <w:sz w:val="18"/>
              </w:rPr>
            </w:pPr>
            <w:r>
              <w:rPr>
                <w:sz w:val="18"/>
              </w:rPr>
              <w:t>Calgary, Alberta  T2P 4H2</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bottom w:val="single" w:sz="6" w:space="0" w:color="000000"/>
            </w:tcBorders>
          </w:tcPr>
          <w:p>
            <w:pPr>
              <w:pStyle w:val="Normal"/>
              <w:tabs>
                <w:tab w:val="clear" w:pos="720"/>
                <w:tab w:val="center" w:pos="4680" w:leader="none"/>
              </w:tabs>
              <w:jc w:val="both"/>
              <w:rPr>
                <w:color w:val="0000FF"/>
                <w:sz w:val="18"/>
              </w:rPr>
            </w:pPr>
            <w:r>
              <w:rPr>
                <w:color w:val="0000FF"/>
                <w:sz w:val="18"/>
              </w:rPr>
              <w:t>T2P 4K9</w:t>
            </w:r>
          </w:p>
        </w:tc>
      </w:tr>
      <w:tr>
        <w:trPr/>
        <w:tc>
          <w:tcPr>
            <w:tcW w:w="4767" w:type="dxa"/>
            <w:tcBorders/>
          </w:tcPr>
          <w:p>
            <w:pPr>
              <w:pStyle w:val="Normal"/>
              <w:tabs>
                <w:tab w:val="clear" w:pos="720"/>
                <w:tab w:val="center" w:pos="4680" w:leader="none"/>
              </w:tabs>
              <w:jc w:val="both"/>
              <w:rPr>
                <w:b/>
                <w:sz w:val="18"/>
              </w:rPr>
            </w:pPr>
            <w:r>
              <w:rPr>
                <w:sz w:val="18"/>
              </w:rPr>
              <w:t>Attn:  Corporate Secretary</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jc w:val="both"/>
              <w:rPr>
                <w:color w:val="0000FF"/>
                <w:sz w:val="18"/>
              </w:rPr>
            </w:pPr>
            <w:r>
              <w:rPr>
                <w:color w:val="0000FF"/>
                <w:sz w:val="18"/>
              </w:rPr>
              <w:t>Attn:  Forest Wylie</w:t>
            </w:r>
          </w:p>
        </w:tc>
      </w:tr>
      <w:tr>
        <w:trPr/>
        <w:tc>
          <w:tcPr>
            <w:tcW w:w="4767" w:type="dxa"/>
            <w:tcBorders/>
          </w:tcPr>
          <w:p>
            <w:pPr>
              <w:pStyle w:val="Normal"/>
              <w:tabs>
                <w:tab w:val="clear" w:pos="720"/>
                <w:tab w:val="center" w:pos="4680" w:leader="none"/>
              </w:tabs>
              <w:jc w:val="both"/>
              <w:rPr>
                <w:b/>
                <w:sz w:val="18"/>
              </w:rPr>
            </w:pPr>
            <w:r>
              <w:rPr>
                <w:sz w:val="18"/>
              </w:rPr>
              <w:t>Facsimile No. (403) 974-6707</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sz w:val="18"/>
              </w:rPr>
            </w:pPr>
            <w:r>
              <w:rPr>
                <w:color w:val="0000FF"/>
                <w:sz w:val="18"/>
              </w:rPr>
              <w:t xml:space="preserve">Facsimile No.  713-297-1858 </w:t>
            </w:r>
          </w:p>
        </w:tc>
      </w:tr>
      <w:tr>
        <w:trPr/>
        <w:tc>
          <w:tcPr>
            <w:tcW w:w="4767" w:type="dxa"/>
            <w:tcBorders/>
          </w:tcPr>
          <w:p>
            <w:pPr>
              <w:pStyle w:val="Normal"/>
              <w:tabs>
                <w:tab w:val="clear" w:pos="720"/>
                <w:tab w:val="center" w:pos="4680" w:leader="none"/>
              </w:tabs>
              <w:snapToGrid w:val="false"/>
              <w:jc w:val="both"/>
              <w:rPr>
                <w:b/>
                <w:color w:val="0000FF"/>
                <w:sz w:val="18"/>
              </w:rPr>
            </w:pPr>
            <w:r>
              <w:rPr>
                <w:b/>
                <w:color w:val="0000FF"/>
                <w:sz w:val="18"/>
              </w:rPr>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PAYMENTS TO ENRON CANADA:</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jc w:val="both"/>
              <w:rPr>
                <w:sz w:val="18"/>
              </w:rPr>
            </w:pPr>
            <w:r>
              <w:rPr>
                <w:sz w:val="18"/>
              </w:rPr>
              <w:t>PAYMENTS TO CUSTOMER</w:t>
            </w:r>
          </w:p>
        </w:tc>
      </w:tr>
      <w:tr>
        <w:trPr/>
        <w:tc>
          <w:tcPr>
            <w:tcW w:w="4767" w:type="dxa"/>
            <w:tcBorders/>
          </w:tcPr>
          <w:p>
            <w:pPr>
              <w:pStyle w:val="Normal"/>
              <w:tabs>
                <w:tab w:val="clear" w:pos="720"/>
                <w:tab w:val="center" w:pos="4680" w:leader="none"/>
              </w:tabs>
              <w:jc w:val="both"/>
              <w:rPr>
                <w:b/>
                <w:sz w:val="18"/>
              </w:rPr>
            </w:pPr>
            <w:r>
              <w:rPr>
                <w:sz w:val="18"/>
              </w:rPr>
              <w:t>If by Wire Transfer (Canadian Funds), to:</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jc w:val="both"/>
              <w:rPr>
                <w:sz w:val="18"/>
              </w:rPr>
            </w:pPr>
            <w:r>
              <w:rPr>
                <w:sz w:val="18"/>
              </w:rPr>
              <w:t>If by Wire Transfer, to:</w:t>
            </w:r>
          </w:p>
        </w:tc>
      </w:tr>
      <w:tr>
        <w:trPr/>
        <w:tc>
          <w:tcPr>
            <w:tcW w:w="4767" w:type="dxa"/>
            <w:tcBorders/>
          </w:tcPr>
          <w:p>
            <w:pPr>
              <w:pStyle w:val="Normal"/>
              <w:tabs>
                <w:tab w:val="clear" w:pos="720"/>
                <w:tab w:val="center" w:pos="4680" w:leader="none"/>
              </w:tabs>
              <w:jc w:val="both"/>
              <w:rPr>
                <w:sz w:val="18"/>
              </w:rPr>
            </w:pPr>
            <w:r>
              <w:rPr>
                <w:sz w:val="18"/>
                <w:u w:val="single"/>
              </w:rPr>
              <w:t>Intermediary Bank</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6" w:space="0" w:color="000000"/>
            </w:tcBorders>
          </w:tcPr>
          <w:p>
            <w:pPr>
              <w:pStyle w:val="Normal"/>
              <w:tabs>
                <w:tab w:val="clear" w:pos="720"/>
                <w:tab w:val="center" w:pos="4680" w:leader="none"/>
              </w:tabs>
              <w:snapToGrid w:val="false"/>
              <w:jc w:val="both"/>
              <w:rPr>
                <w:color w:val="0000FF"/>
                <w:sz w:val="18"/>
              </w:rPr>
            </w:pPr>
            <w:r>
              <w:rPr>
                <w:color w:val="0000FF"/>
                <w:sz w:val="18"/>
              </w:rPr>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Bank of Montreal, Main Branch, Montreal</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6" w:space="0" w:color="000000"/>
            </w:tcBorders>
          </w:tcPr>
          <w:p>
            <w:pPr>
              <w:pStyle w:val="Normal"/>
              <w:tabs>
                <w:tab w:val="clear" w:pos="720"/>
                <w:tab w:val="center" w:pos="4680" w:leader="none"/>
              </w:tabs>
              <w:snapToGrid w:val="false"/>
              <w:jc w:val="both"/>
              <w:rPr>
                <w:color w:val="0000FF"/>
                <w:sz w:val="18"/>
              </w:rPr>
            </w:pPr>
            <w:r>
              <w:rPr>
                <w:color w:val="0000FF"/>
                <w:sz w:val="18"/>
              </w:rPr>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Swift Code:  BOFMCAM2</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6" w:space="0" w:color="000000"/>
            </w:tcBorders>
          </w:tcPr>
          <w:p>
            <w:pPr>
              <w:pStyle w:val="Normal"/>
              <w:tabs>
                <w:tab w:val="clear" w:pos="720"/>
                <w:tab w:val="center" w:pos="4680" w:leader="none"/>
              </w:tabs>
              <w:snapToGrid w:val="false"/>
              <w:jc w:val="both"/>
              <w:rPr>
                <w:color w:val="0000FF"/>
                <w:sz w:val="18"/>
              </w:rPr>
            </w:pPr>
            <w:r>
              <w:rPr>
                <w:color w:val="0000FF"/>
                <w:sz w:val="18"/>
              </w:rPr>
            </w:r>
          </w:p>
        </w:tc>
      </w:tr>
      <w:tr>
        <w:trPr/>
        <w:tc>
          <w:tcPr>
            <w:tcW w:w="4767" w:type="dxa"/>
            <w:tcBorders/>
          </w:tcPr>
          <w:p>
            <w:pPr>
              <w:pStyle w:val="Normal"/>
              <w:tabs>
                <w:tab w:val="clear" w:pos="720"/>
                <w:tab w:val="center" w:pos="4680" w:leader="none"/>
              </w:tabs>
              <w:jc w:val="both"/>
              <w:rPr>
                <w:sz w:val="18"/>
              </w:rPr>
            </w:pPr>
            <w:r>
              <w:rPr>
                <w:sz w:val="18"/>
                <w:u w:val="single"/>
              </w:rPr>
              <w:t>Beneficiary Bank</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6" w:space="0" w:color="000000"/>
            </w:tcBorders>
          </w:tcPr>
          <w:p>
            <w:pPr>
              <w:pStyle w:val="Justified"/>
              <w:tabs>
                <w:tab w:val="clear" w:pos="720"/>
                <w:tab w:val="center" w:pos="4680" w:leader="none"/>
              </w:tabs>
              <w:spacing w:before="0" w:after="0"/>
              <w:rPr>
                <w:sz w:val="18"/>
                <w:vertAlign w:val="subscript"/>
              </w:rPr>
            </w:pPr>
            <w:r>
              <w:rPr>
                <w:sz w:val="18"/>
                <w:vertAlign w:val="subscript"/>
              </w:rPr>
              <w:t>Calgary, Alberta</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For the account of:  Citibank Canada</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6" w:space="0" w:color="000000"/>
            </w:tcBorders>
          </w:tcPr>
          <w:p>
            <w:pPr>
              <w:pStyle w:val="Normal"/>
              <w:tabs>
                <w:tab w:val="clear" w:pos="720"/>
                <w:tab w:val="center" w:pos="4680" w:leader="none"/>
              </w:tabs>
              <w:jc w:val="both"/>
              <w:rPr>
                <w:sz w:val="18"/>
              </w:rPr>
            </w:pPr>
            <w:r>
              <w:rPr>
                <w:sz w:val="18"/>
              </w:rPr>
              <w:t>Bank #                             Branch #</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123 Front Street West</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6" w:space="0" w:color="000000"/>
            </w:tcBorders>
          </w:tcPr>
          <w:p>
            <w:pPr>
              <w:pStyle w:val="Normal"/>
              <w:tabs>
                <w:tab w:val="clear" w:pos="720"/>
                <w:tab w:val="center" w:pos="4680" w:leader="none"/>
              </w:tabs>
              <w:jc w:val="both"/>
              <w:rPr>
                <w:sz w:val="18"/>
              </w:rPr>
            </w:pPr>
            <w:r>
              <w:rPr>
                <w:sz w:val="18"/>
              </w:rPr>
              <w:t xml:space="preserve">Account No.  </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Toronto, Ontario</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jc w:val="both"/>
              <w:rPr>
                <w:sz w:val="18"/>
              </w:rPr>
            </w:pPr>
            <w:r>
              <w:rPr>
                <w:sz w:val="18"/>
              </w:rPr>
              <w:t xml:space="preserve">Telephone:  </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Account No.  1017-221</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op w:val="single" w:sz="6" w:space="0" w:color="000000"/>
              <w:bottom w:val="single" w:sz="4" w:space="0" w:color="000000"/>
            </w:tcBorders>
          </w:tcPr>
          <w:p>
            <w:pPr>
              <w:pStyle w:val="Normal"/>
              <w:tabs>
                <w:tab w:val="clear" w:pos="720"/>
                <w:tab w:val="center" w:pos="4680" w:leader="none"/>
              </w:tabs>
              <w:jc w:val="both"/>
              <w:rPr>
                <w:sz w:val="18"/>
              </w:rPr>
            </w:pPr>
            <w:r>
              <w:rPr>
                <w:sz w:val="18"/>
              </w:rPr>
              <w:t>Rapifax:</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r>
            <w:r>
              <w:rPr>
                <w:b/>
                <w:sz w:val="18"/>
              </w:rPr>
              <w:t>For further credit to:</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Enron Canada Corp.</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jc w:val="both"/>
              <w:rPr>
                <w:sz w:val="18"/>
              </w:rPr>
            </w:pPr>
            <w:r>
              <w:rPr>
                <w:sz w:val="18"/>
              </w:rPr>
              <w:t>BILLING AND ACCOUNTING</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Account No.  2013578009</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jc w:val="both"/>
              <w:rPr>
                <w:sz w:val="18"/>
              </w:rPr>
            </w:pPr>
            <w:r>
              <w:rPr>
                <w:sz w:val="18"/>
              </w:rPr>
              <w:t>MATTERS</w:t>
            </w:r>
          </w:p>
        </w:tc>
      </w:tr>
      <w:tr>
        <w:trPr/>
        <w:tc>
          <w:tcPr>
            <w:tcW w:w="4767" w:type="dxa"/>
            <w:tcBorders/>
          </w:tcPr>
          <w:p>
            <w:pPr>
              <w:pStyle w:val="Normal"/>
              <w:tabs>
                <w:tab w:val="clear" w:pos="720"/>
                <w:tab w:val="center" w:pos="4680" w:leader="none"/>
              </w:tabs>
              <w:jc w:val="both"/>
              <w:rPr>
                <w:b/>
                <w:sz w:val="18"/>
              </w:rPr>
            </w:pPr>
            <w:r>
              <w:rPr>
                <w:sz w:val="18"/>
              </w:rPr>
              <w:t>If by Wire Transfer (U.S. Funds), to:</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jc w:val="both"/>
              <w:rPr>
                <w:sz w:val="18"/>
              </w:rPr>
            </w:pPr>
            <w:r>
              <w:rPr>
                <w:sz w:val="18"/>
              </w:rPr>
              <w:t>TO CUSTOMER:</w:t>
            </w:r>
          </w:p>
        </w:tc>
      </w:tr>
      <w:tr>
        <w:trPr/>
        <w:tc>
          <w:tcPr>
            <w:tcW w:w="4767" w:type="dxa"/>
            <w:tcBorders/>
          </w:tcPr>
          <w:p>
            <w:pPr>
              <w:pStyle w:val="Justified"/>
              <w:tabs>
                <w:tab w:val="clear" w:pos="720"/>
                <w:tab w:val="left" w:pos="273" w:leader="none"/>
                <w:tab w:val="center" w:pos="4680" w:leader="none"/>
              </w:tabs>
              <w:spacing w:before="0" w:after="0"/>
              <w:rPr>
                <w:sz w:val="18"/>
                <w:u w:val="single"/>
              </w:rPr>
            </w:pPr>
            <w:r>
              <w:rPr>
                <w:sz w:val="18"/>
                <w:u w:val="single"/>
              </w:rPr>
              <w:t>Intermediary Bank</w:t>
            </w:r>
          </w:p>
        </w:tc>
        <w:tc>
          <w:tcPr>
            <w:tcW w:w="654" w:type="dxa"/>
            <w:tcBorders/>
          </w:tcPr>
          <w:p>
            <w:pPr>
              <w:pStyle w:val="Normal"/>
              <w:tabs>
                <w:tab w:val="clear" w:pos="720"/>
                <w:tab w:val="center" w:pos="4680" w:leader="none"/>
              </w:tabs>
              <w:snapToGrid w:val="false"/>
              <w:jc w:val="end"/>
              <w:rPr>
                <w:sz w:val="18"/>
                <w:u w:val="single"/>
              </w:rPr>
            </w:pPr>
            <w:r>
              <w:rPr>
                <w:sz w:val="18"/>
                <w:u w:val="single"/>
              </w:rPr>
            </w:r>
          </w:p>
        </w:tc>
        <w:tc>
          <w:tcPr>
            <w:tcW w:w="4140" w:type="dxa"/>
            <w:tcBorders/>
          </w:tcPr>
          <w:p>
            <w:pPr>
              <w:pStyle w:val="Normal"/>
              <w:tabs>
                <w:tab w:val="clear" w:pos="720"/>
                <w:tab w:val="center" w:pos="4680" w:leader="none"/>
              </w:tabs>
              <w:jc w:val="both"/>
              <w:rPr>
                <w:color w:val="0000FF"/>
                <w:sz w:val="18"/>
              </w:rPr>
            </w:pPr>
            <w:r>
              <w:rPr>
                <w:color w:val="0000FF"/>
                <w:sz w:val="18"/>
              </w:rPr>
              <w:t>Engage Energy Canada, L.P.</w:t>
            </w:r>
          </w:p>
        </w:tc>
      </w:tr>
      <w:tr>
        <w:trPr/>
        <w:tc>
          <w:tcPr>
            <w:tcW w:w="4767" w:type="dxa"/>
            <w:tcBorders/>
          </w:tcPr>
          <w:p>
            <w:pPr>
              <w:pStyle w:val="Justified"/>
              <w:tabs>
                <w:tab w:val="clear" w:pos="720"/>
                <w:tab w:val="left" w:pos="273" w:leader="none"/>
                <w:tab w:val="center" w:pos="4680" w:leader="none"/>
              </w:tabs>
              <w:spacing w:before="0" w:after="0"/>
              <w:rPr>
                <w:b/>
                <w:sz w:val="18"/>
              </w:rPr>
            </w:pPr>
            <w:r>
              <w:rPr>
                <w:b/>
                <w:sz w:val="18"/>
              </w:rPr>
              <w:tab/>
            </w:r>
            <w:r>
              <w:rPr>
                <w:sz w:val="18"/>
              </w:rPr>
              <w:t>Citibank N.A.</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op w:val="single" w:sz="4" w:space="0" w:color="000000"/>
              <w:bottom w:val="single" w:sz="4" w:space="0" w:color="000000"/>
            </w:tcBorders>
          </w:tcPr>
          <w:p>
            <w:pPr>
              <w:pStyle w:val="Normal"/>
              <w:tabs>
                <w:tab w:val="clear" w:pos="720"/>
                <w:tab w:val="center" w:pos="4680" w:leader="none"/>
              </w:tabs>
              <w:jc w:val="both"/>
              <w:rPr/>
            </w:pPr>
            <w:r>
              <w:rPr>
                <w:color w:val="0000FF"/>
                <w:sz w:val="18"/>
              </w:rPr>
              <w:t>1100, 421 – 7</w:t>
            </w:r>
            <w:r>
              <w:rPr>
                <w:color w:val="0000FF"/>
                <w:sz w:val="18"/>
                <w:vertAlign w:val="superscript"/>
              </w:rPr>
              <w:t>th</w:t>
            </w:r>
            <w:r>
              <w:rPr>
                <w:color w:val="0000FF"/>
                <w:sz w:val="18"/>
              </w:rPr>
              <w:t xml:space="preserve"> Avenue S.W.</w:t>
            </w:r>
          </w:p>
        </w:tc>
      </w:tr>
      <w:tr>
        <w:trPr/>
        <w:tc>
          <w:tcPr>
            <w:tcW w:w="4767" w:type="dxa"/>
            <w:tcBorders/>
          </w:tcPr>
          <w:p>
            <w:pPr>
              <w:pStyle w:val="Justified"/>
              <w:tabs>
                <w:tab w:val="clear" w:pos="720"/>
                <w:tab w:val="left" w:pos="273" w:leader="none"/>
                <w:tab w:val="center" w:pos="4680" w:leader="none"/>
              </w:tabs>
              <w:spacing w:before="0" w:after="0"/>
              <w:rPr/>
            </w:pPr>
            <w:r>
              <w:rPr>
                <w:b/>
                <w:sz w:val="18"/>
              </w:rPr>
              <w:tab/>
            </w:r>
            <w:r>
              <w:rPr>
                <w:sz w:val="18"/>
              </w:rPr>
              <w:t>399 Park Avenue</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jc w:val="both"/>
              <w:rPr>
                <w:color w:val="0000FF"/>
                <w:sz w:val="18"/>
              </w:rPr>
            </w:pPr>
            <w:r>
              <w:rPr>
                <w:color w:val="0000FF"/>
                <w:sz w:val="18"/>
              </w:rPr>
              <w:t>Calgary, Alberta</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New York, New York</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op w:val="single" w:sz="4" w:space="0" w:color="000000"/>
            </w:tcBorders>
          </w:tcPr>
          <w:p>
            <w:pPr>
              <w:pStyle w:val="Normal"/>
              <w:tabs>
                <w:tab w:val="clear" w:pos="720"/>
                <w:tab w:val="center" w:pos="4680" w:leader="none"/>
              </w:tabs>
              <w:jc w:val="both"/>
              <w:rPr>
                <w:color w:val="0000FF"/>
                <w:sz w:val="18"/>
              </w:rPr>
            </w:pPr>
            <w:r>
              <w:rPr>
                <w:color w:val="0000FF"/>
                <w:sz w:val="18"/>
              </w:rPr>
              <w:t>T2P 4K9</w:t>
            </w:r>
          </w:p>
        </w:tc>
      </w:tr>
      <w:tr>
        <w:trPr/>
        <w:tc>
          <w:tcPr>
            <w:tcW w:w="4767" w:type="dxa"/>
            <w:tcBorders/>
          </w:tcPr>
          <w:p>
            <w:pPr>
              <w:pStyle w:val="Justified"/>
              <w:tabs>
                <w:tab w:val="clear" w:pos="720"/>
                <w:tab w:val="left" w:pos="273" w:leader="none"/>
                <w:tab w:val="center" w:pos="4680" w:leader="none"/>
              </w:tabs>
              <w:spacing w:before="0" w:after="0"/>
              <w:rPr/>
            </w:pPr>
            <w:r>
              <w:rPr>
                <w:b/>
                <w:sz w:val="18"/>
              </w:rPr>
              <w:tab/>
            </w:r>
            <w:r>
              <w:rPr>
                <w:sz w:val="18"/>
              </w:rPr>
              <w:t>Swift Code:  CITIUS33</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op w:val="single" w:sz="4" w:space="0" w:color="000000"/>
            </w:tcBorders>
          </w:tcPr>
          <w:p>
            <w:pPr>
              <w:pStyle w:val="Normal"/>
              <w:tabs>
                <w:tab w:val="clear" w:pos="720"/>
                <w:tab w:val="center" w:pos="4680" w:leader="none"/>
              </w:tabs>
              <w:jc w:val="both"/>
              <w:rPr>
                <w:sz w:val="18"/>
              </w:rPr>
            </w:pPr>
            <w:r>
              <w:rPr>
                <w:sz w:val="18"/>
              </w:rPr>
              <w:t xml:space="preserve">Attn:  </w:t>
            </w:r>
          </w:p>
        </w:tc>
      </w:tr>
      <w:tr>
        <w:trPr/>
        <w:tc>
          <w:tcPr>
            <w:tcW w:w="4767" w:type="dxa"/>
            <w:tcBorders/>
          </w:tcPr>
          <w:p>
            <w:pPr>
              <w:pStyle w:val="Justified"/>
              <w:tabs>
                <w:tab w:val="clear" w:pos="720"/>
                <w:tab w:val="left" w:pos="273" w:leader="none"/>
                <w:tab w:val="center" w:pos="4680" w:leader="none"/>
              </w:tabs>
              <w:spacing w:before="0" w:after="0"/>
              <w:rPr/>
            </w:pPr>
            <w:r>
              <w:rPr>
                <w:b/>
                <w:sz w:val="18"/>
              </w:rPr>
              <w:tab/>
            </w:r>
            <w:r>
              <w:rPr>
                <w:sz w:val="18"/>
              </w:rPr>
              <w:t>ABA #:  021000089</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op w:val="single" w:sz="4" w:space="0" w:color="000000"/>
              <w:bottom w:val="single" w:sz="4" w:space="0" w:color="000000"/>
            </w:tcBorders>
          </w:tcPr>
          <w:p>
            <w:pPr>
              <w:pStyle w:val="Normal"/>
              <w:tabs>
                <w:tab w:val="clear" w:pos="720"/>
                <w:tab w:val="center" w:pos="4680" w:leader="none"/>
              </w:tabs>
              <w:jc w:val="both"/>
              <w:rPr>
                <w:sz w:val="18"/>
              </w:rPr>
            </w:pPr>
            <w:r>
              <w:rPr>
                <w:sz w:val="18"/>
              </w:rPr>
              <w:t xml:space="preserve">Facsimile No. </w:t>
            </w:r>
          </w:p>
        </w:tc>
      </w:tr>
      <w:tr>
        <w:trPr/>
        <w:tc>
          <w:tcPr>
            <w:tcW w:w="4767" w:type="dxa"/>
            <w:tcBorders/>
          </w:tcPr>
          <w:p>
            <w:pPr>
              <w:pStyle w:val="Justified"/>
              <w:tabs>
                <w:tab w:val="clear" w:pos="720"/>
                <w:tab w:val="left" w:pos="273" w:leader="none"/>
                <w:tab w:val="center" w:pos="4680" w:leader="none"/>
              </w:tabs>
              <w:spacing w:before="0" w:after="0"/>
              <w:rPr>
                <w:b/>
                <w:sz w:val="18"/>
                <w:u w:val="single"/>
              </w:rPr>
            </w:pPr>
            <w:r>
              <w:rPr>
                <w:sz w:val="18"/>
                <w:u w:val="single"/>
              </w:rPr>
              <w:t>Beneficiary Bank</w:t>
            </w:r>
          </w:p>
        </w:tc>
        <w:tc>
          <w:tcPr>
            <w:tcW w:w="654" w:type="dxa"/>
            <w:tcBorders/>
          </w:tcPr>
          <w:p>
            <w:pPr>
              <w:pStyle w:val="Normal"/>
              <w:tabs>
                <w:tab w:val="clear" w:pos="720"/>
                <w:tab w:val="center" w:pos="4680" w:leader="none"/>
              </w:tabs>
              <w:snapToGrid w:val="false"/>
              <w:jc w:val="end"/>
              <w:rPr>
                <w:b/>
                <w:sz w:val="18"/>
                <w:u w:val="single"/>
              </w:rPr>
            </w:pPr>
            <w:r>
              <w:rPr>
                <w:b/>
                <w:sz w:val="18"/>
                <w:u w:val="single"/>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For the account of:  Citibank Canada</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jc w:val="both"/>
              <w:rPr>
                <w:sz w:val="18"/>
              </w:rPr>
            </w:pPr>
            <w:r>
              <w:rPr>
                <w:sz w:val="18"/>
              </w:rPr>
              <w:t>NOMINATIONS AND CONFIRMATIONS</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123 Front Street West</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jc w:val="both"/>
              <w:rPr>
                <w:sz w:val="18"/>
              </w:rPr>
            </w:pPr>
            <w:r>
              <w:rPr>
                <w:sz w:val="18"/>
              </w:rPr>
              <w:t>TO CUSTOMER:</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Toronto, Ontario</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4" w:space="0" w:color="000000"/>
            </w:tcBorders>
          </w:tcPr>
          <w:p>
            <w:pPr>
              <w:pStyle w:val="Normal"/>
              <w:tabs>
                <w:tab w:val="clear" w:pos="720"/>
                <w:tab w:val="center" w:pos="4680" w:leader="none"/>
              </w:tabs>
              <w:jc w:val="both"/>
              <w:rPr>
                <w:sz w:val="18"/>
              </w:rPr>
            </w:pPr>
            <w:r>
              <w:rPr>
                <w:sz w:val="18"/>
              </w:rPr>
              <w:t xml:space="preserve">Attn:   </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Swift Code:  CITICATT</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bottom w:val="single" w:sz="4" w:space="0" w:color="000000"/>
            </w:tcBorders>
          </w:tcPr>
          <w:p>
            <w:pPr>
              <w:pStyle w:val="Normal"/>
              <w:tabs>
                <w:tab w:val="clear" w:pos="720"/>
                <w:tab w:val="center" w:pos="4680" w:leader="none"/>
              </w:tabs>
              <w:jc w:val="both"/>
              <w:rPr>
                <w:sz w:val="18"/>
              </w:rPr>
            </w:pPr>
            <w:r>
              <w:rPr>
                <w:sz w:val="18"/>
              </w:rPr>
              <w:t xml:space="preserve">Facsimile No.  </w:t>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Account No.  3600-6535</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r>
            <w:r>
              <w:rPr>
                <w:b/>
                <w:sz w:val="18"/>
              </w:rPr>
              <w:t>For further credit to:</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Enron Canada Corp.</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Justified"/>
              <w:tabs>
                <w:tab w:val="clear" w:pos="720"/>
                <w:tab w:val="left" w:pos="273" w:leader="none"/>
                <w:tab w:val="center" w:pos="4680" w:leader="none"/>
              </w:tabs>
              <w:spacing w:before="0" w:after="0"/>
              <w:rPr>
                <w:sz w:val="18"/>
              </w:rPr>
            </w:pPr>
            <w:r>
              <w:rPr>
                <w:sz w:val="18"/>
              </w:rPr>
              <w:tab/>
              <w:t>Account No.  2013578068</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rHeight w:val="189" w:hRule="atLeast"/>
        </w:trPr>
        <w:tc>
          <w:tcPr>
            <w:tcW w:w="4767" w:type="dxa"/>
            <w:tcBorders/>
          </w:tcPr>
          <w:p>
            <w:pPr>
              <w:pStyle w:val="Normal"/>
              <w:tabs>
                <w:tab w:val="clear" w:pos="720"/>
                <w:tab w:val="center" w:pos="4680" w:leader="none"/>
              </w:tabs>
              <w:snapToGrid w:val="false"/>
              <w:jc w:val="both"/>
              <w:rPr>
                <w:b/>
                <w:sz w:val="18"/>
              </w:rPr>
            </w:pPr>
            <w:r>
              <w:rPr>
                <w:b/>
                <w:sz w:val="18"/>
              </w:rPr>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BILLING AND ACCOUNTING MATTERS</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TO ENRON CANADA:</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Enron Canada Corp.</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Suite 3500, Canterra Tower</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400 - 3</w:t>
            </w:r>
            <w:r>
              <w:rPr>
                <w:sz w:val="18"/>
                <w:vertAlign w:val="superscript"/>
              </w:rPr>
              <w:t>rd</w:t>
            </w:r>
            <w:r>
              <w:rPr>
                <w:sz w:val="18"/>
              </w:rPr>
              <w:t xml:space="preserve"> Avenue S.W.</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sz w:val="18"/>
              </w:rPr>
            </w:pPr>
            <w:r>
              <w:rPr>
                <w:sz w:val="18"/>
              </w:rPr>
              <w:t>Calgary, Alberta  T2P 4H2</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Attn: Manager, Accounting</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Facsimile No. (403) 974-6795</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snapToGrid w:val="false"/>
              <w:jc w:val="both"/>
              <w:rPr>
                <w:b/>
                <w:sz w:val="18"/>
              </w:rPr>
            </w:pPr>
            <w:r>
              <w:rPr>
                <w:b/>
                <w:sz w:val="18"/>
              </w:rPr>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CommentText"/>
              <w:tabs>
                <w:tab w:val="clear" w:pos="720"/>
                <w:tab w:val="center" w:pos="4680" w:leader="none"/>
              </w:tabs>
              <w:rPr>
                <w:b/>
                <w:sz w:val="18"/>
              </w:rPr>
            </w:pPr>
            <w:r>
              <w:rPr>
                <w:sz w:val="18"/>
              </w:rPr>
              <w:t>NOMINATIONS AND CONFIRMATIONS TO ENRON CANADA:</w:t>
            </w:r>
          </w:p>
        </w:tc>
        <w:tc>
          <w:tcPr>
            <w:tcW w:w="654" w:type="dxa"/>
            <w:tcBorders/>
          </w:tcPr>
          <w:p>
            <w:pPr>
              <w:pStyle w:val="Normal"/>
              <w:tabs>
                <w:tab w:val="clear" w:pos="720"/>
                <w:tab w:val="center" w:pos="4680" w:leader="none"/>
              </w:tabs>
              <w:snapToGrid w:val="false"/>
              <w:rPr>
                <w:b/>
                <w:sz w:val="18"/>
              </w:rPr>
            </w:pPr>
            <w:r>
              <w:rPr>
                <w:b/>
                <w:sz w:val="18"/>
              </w:rPr>
            </w:r>
          </w:p>
        </w:tc>
        <w:tc>
          <w:tcPr>
            <w:tcW w:w="4140" w:type="dxa"/>
            <w:tcBorders/>
          </w:tcPr>
          <w:p>
            <w:pPr>
              <w:pStyle w:val="Normal"/>
              <w:tabs>
                <w:tab w:val="clear" w:pos="720"/>
                <w:tab w:val="center" w:pos="4680" w:leader="none"/>
              </w:tabs>
              <w:snapToGrid w:val="false"/>
              <w:rPr>
                <w:sz w:val="18"/>
              </w:rPr>
            </w:pPr>
            <w:r>
              <w:rPr>
                <w:sz w:val="18"/>
              </w:rPr>
            </w:r>
          </w:p>
        </w:tc>
      </w:tr>
      <w:tr>
        <w:trPr/>
        <w:tc>
          <w:tcPr>
            <w:tcW w:w="4767" w:type="dxa"/>
            <w:tcBorders/>
          </w:tcPr>
          <w:p>
            <w:pPr>
              <w:pStyle w:val="Normal"/>
              <w:tabs>
                <w:tab w:val="clear" w:pos="720"/>
                <w:tab w:val="center" w:pos="4680" w:leader="none"/>
              </w:tabs>
              <w:jc w:val="both"/>
              <w:rPr>
                <w:sz w:val="18"/>
              </w:rPr>
            </w:pPr>
            <w:r>
              <w:rPr>
                <w:sz w:val="18"/>
              </w:rPr>
              <w:t>Attn:  Operations Coordinator</w:t>
            </w:r>
          </w:p>
        </w:tc>
        <w:tc>
          <w:tcPr>
            <w:tcW w:w="654" w:type="dxa"/>
            <w:tcBorders/>
          </w:tcPr>
          <w:p>
            <w:pPr>
              <w:pStyle w:val="Normal"/>
              <w:tabs>
                <w:tab w:val="clear" w:pos="720"/>
                <w:tab w:val="center" w:pos="4680" w:leader="none"/>
              </w:tabs>
              <w:snapToGrid w:val="false"/>
              <w:jc w:val="end"/>
              <w:rPr>
                <w:sz w:val="18"/>
              </w:rPr>
            </w:pPr>
            <w:r>
              <w:rPr>
                <w:sz w:val="18"/>
              </w:rPr>
            </w:r>
          </w:p>
        </w:tc>
        <w:tc>
          <w:tcPr>
            <w:tcW w:w="4140" w:type="dxa"/>
            <w:tcBorders/>
          </w:tcPr>
          <w:p>
            <w:pPr>
              <w:pStyle w:val="Normal"/>
              <w:tabs>
                <w:tab w:val="clear" w:pos="720"/>
                <w:tab w:val="center" w:pos="4680" w:leader="none"/>
              </w:tabs>
              <w:snapToGrid w:val="false"/>
              <w:jc w:val="both"/>
              <w:rPr>
                <w:sz w:val="18"/>
              </w:rPr>
            </w:pPr>
            <w:r>
              <w:rPr>
                <w:sz w:val="18"/>
              </w:rPr>
            </w:r>
          </w:p>
        </w:tc>
      </w:tr>
      <w:tr>
        <w:trPr/>
        <w:tc>
          <w:tcPr>
            <w:tcW w:w="4767" w:type="dxa"/>
            <w:tcBorders/>
          </w:tcPr>
          <w:p>
            <w:pPr>
              <w:pStyle w:val="Normal"/>
              <w:tabs>
                <w:tab w:val="clear" w:pos="720"/>
                <w:tab w:val="center" w:pos="4680" w:leader="none"/>
              </w:tabs>
              <w:jc w:val="both"/>
              <w:rPr>
                <w:b/>
                <w:sz w:val="18"/>
              </w:rPr>
            </w:pPr>
            <w:r>
              <w:rPr>
                <w:sz w:val="18"/>
              </w:rPr>
              <w:t>Facsimile No. (403) 974-6706</w:t>
            </w:r>
          </w:p>
        </w:tc>
        <w:tc>
          <w:tcPr>
            <w:tcW w:w="654" w:type="dxa"/>
            <w:tcBorders/>
          </w:tcPr>
          <w:p>
            <w:pPr>
              <w:pStyle w:val="Normal"/>
              <w:tabs>
                <w:tab w:val="clear" w:pos="720"/>
                <w:tab w:val="center" w:pos="4680" w:leader="none"/>
              </w:tabs>
              <w:snapToGrid w:val="false"/>
              <w:jc w:val="end"/>
              <w:rPr>
                <w:b/>
                <w:sz w:val="18"/>
              </w:rPr>
            </w:pPr>
            <w:r>
              <w:rPr>
                <w:b/>
                <w:sz w:val="18"/>
              </w:rPr>
            </w:r>
          </w:p>
        </w:tc>
        <w:tc>
          <w:tcPr>
            <w:tcW w:w="4140" w:type="dxa"/>
            <w:tcBorders/>
          </w:tcPr>
          <w:p>
            <w:pPr>
              <w:pStyle w:val="Normal"/>
              <w:tabs>
                <w:tab w:val="clear" w:pos="720"/>
                <w:tab w:val="center" w:pos="4680" w:leader="none"/>
              </w:tabs>
              <w:snapToGrid w:val="false"/>
              <w:jc w:val="both"/>
              <w:rPr>
                <w:sz w:val="18"/>
              </w:rPr>
            </w:pPr>
            <w:r>
              <w:rPr>
                <w:sz w:val="18"/>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296"/>
          <w:pgNumType w:start="1" w:fmt="decimal"/>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ind w:start="720" w:end="720"/>
        <w:jc w:val="center"/>
        <w:rPr>
          <w:b/>
          <w:caps/>
        </w:rPr>
      </w:pPr>
      <w:r>
        <w:rPr>
          <w:b/>
          <w:caps/>
        </w:rPr>
        <w:t>EXHIBIT “B” TO AMENDED AND RESTATED MASTER FIRM GAS</w:t>
      </w:r>
    </w:p>
    <w:p>
      <w:pPr>
        <w:pStyle w:val="Normal"/>
        <w:ind w:start="720" w:end="720"/>
        <w:jc w:val="center"/>
        <w:rPr>
          <w:b/>
          <w:caps/>
        </w:rPr>
      </w:pPr>
      <w:r>
        <w:rPr>
          <w:b/>
          <w:caps/>
        </w:rPr>
        <w:t xml:space="preserve">PURCHASE/SALE AGREEMENT BETWEEN ENRON CANADA CORP. </w:t>
      </w:r>
    </w:p>
    <w:p>
      <w:pPr>
        <w:pStyle w:val="Normal"/>
        <w:ind w:start="720" w:end="720"/>
        <w:jc w:val="center"/>
        <w:rPr/>
      </w:pPr>
      <w:r>
        <w:rPr>
          <w:b/>
          <w:caps/>
        </w:rPr>
        <w:t xml:space="preserve">AND </w:t>
      </w:r>
      <w:r>
        <w:rPr>
          <w:b/>
          <w:caps/>
          <w:color w:val="0000FF"/>
        </w:rPr>
        <w:t>engage energy canada, l.p. dated JANUARY 4, 2001</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Justified"/>
        <w:tabs>
          <w:tab w:val="clear" w:pos="720"/>
          <w:tab w:val="left" w:pos="1440" w:leader="none"/>
          <w:tab w:val="left" w:pos="2160" w:leader="none"/>
          <w:tab w:val="right" w:pos="9360" w:leader="none"/>
        </w:tabs>
        <w:spacing w:before="0" w:after="0"/>
        <w:rPr>
          <w:b/>
        </w:rPr>
      </w:pPr>
      <w:r>
        <w:rPr>
          <w:b/>
        </w:rPr>
      </w:r>
    </w:p>
    <w:p>
      <w:pPr>
        <w:pStyle w:val="Normal"/>
        <w:tabs>
          <w:tab w:val="clear" w:pos="720"/>
          <w:tab w:val="left" w:pos="1440" w:leader="none"/>
          <w:tab w:val="left" w:pos="2160" w:leader="none"/>
          <w:tab w:val="right" w:pos="9360" w:leader="none"/>
        </w:tabs>
        <w:jc w:val="end"/>
        <w:rPr>
          <w:sz w:val="18"/>
        </w:rPr>
      </w:pPr>
      <w:r>
        <w:rPr>
          <w:sz w:val="18"/>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sz w:val="18"/>
        </w:rPr>
      </w:pPr>
      <w:r>
        <w:rPr>
          <w:color w:val="0000FF"/>
          <w:sz w:val="18"/>
        </w:rPr>
        <w:t>Engage Energy Canada, L.P.</w:t>
      </w:r>
    </w:p>
    <w:p>
      <w:pPr>
        <w:pStyle w:val="Normal"/>
        <w:tabs>
          <w:tab w:val="clear" w:pos="720"/>
          <w:tab w:val="left" w:pos="1440" w:leader="none"/>
          <w:tab w:val="left" w:pos="2160" w:leader="none"/>
          <w:tab w:val="left" w:pos="5280" w:leader="none"/>
          <w:tab w:val="left" w:pos="5472" w:leader="none"/>
          <w:tab w:val="left" w:pos="6480" w:leader="none"/>
        </w:tabs>
        <w:jc w:val="both"/>
        <w:rPr/>
      </w:pPr>
      <w:r>
        <w:rPr>
          <w:color w:val="0000FF"/>
          <w:sz w:val="18"/>
        </w:rPr>
        <w:t>1100, 421 – 7</w:t>
      </w:r>
      <w:r>
        <w:rPr>
          <w:color w:val="0000FF"/>
          <w:sz w:val="18"/>
          <w:vertAlign w:val="superscript"/>
        </w:rPr>
        <w:t>th</w:t>
      </w:r>
      <w:r>
        <w:rPr>
          <w:color w:val="0000FF"/>
          <w:sz w:val="18"/>
        </w:rPr>
        <w:t xml:space="preserve"> Avenue S.W.</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sz w:val="18"/>
        </w:rPr>
      </w:pPr>
      <w:r>
        <w:rPr>
          <w:color w:val="0000FF"/>
          <w:sz w:val="18"/>
        </w:rPr>
        <w:t>Calgary, Alberta  T2P 4K9</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sz w:val="18"/>
        </w:rPr>
      </w:pPr>
      <w:r>
        <w:rPr>
          <w:color w:val="0000FF"/>
          <w:sz w:val="18"/>
        </w:rPr>
      </w:r>
    </w:p>
    <w:p>
      <w:pPr>
        <w:pStyle w:val="Normal"/>
        <w:tabs>
          <w:tab w:val="clear" w:pos="720"/>
          <w:tab w:val="left" w:pos="1440" w:leader="none"/>
          <w:tab w:val="left" w:pos="2160" w:leader="none"/>
          <w:tab w:val="left" w:pos="5280" w:leader="none"/>
          <w:tab w:val="left" w:pos="5472" w:leader="none"/>
          <w:tab w:val="left" w:pos="6480" w:leader="none"/>
        </w:tabs>
        <w:jc w:val="center"/>
        <w:rPr>
          <w:sz w:val="18"/>
        </w:rPr>
      </w:pPr>
      <w:r>
        <w:rPr>
          <w:b/>
          <w:sz w:val="18"/>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sz w:val="18"/>
        </w:rPr>
      </w:pPr>
      <w:r>
        <w:rPr>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18"/>
        </w:rPr>
        <w:t xml:space="preserve">This Confirmation Letter confirms the verbal agreement reached on ______________, ____ (the “Effective Time”), between </w:t>
      </w:r>
      <w:r>
        <w:rPr>
          <w:color w:val="0000FF"/>
          <w:sz w:val="18"/>
        </w:rPr>
        <w:t>Engage Energy Canada, L.P.</w:t>
      </w:r>
      <w:r>
        <w:rPr>
          <w:sz w:val="18"/>
        </w:rPr>
        <w:t xml:space="preserve"> (“Customer”) and Enron Canada Corp. (“Enron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18"/>
        </w:rPr>
      </w:pPr>
      <w:r>
        <w:rPr>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18"/>
        </w:rPr>
      </w:pPr>
      <w:r>
        <w:rPr>
          <w:sz w:val="18"/>
        </w:rPr>
        <w:t>___________________ (Buyer) shall purchase and receive; and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18"/>
        </w:rPr>
      </w:pPr>
      <w:r>
        <w:rPr>
          <w:sz w:val="18"/>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sz w:val="18"/>
              </w:rPr>
            </w:pPr>
            <w:r>
              <w:rPr>
                <w:sz w:val="18"/>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sz w:val="18"/>
              </w:rPr>
            </w:pPr>
            <w:r>
              <w:rPr>
                <w:sz w:val="18"/>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sz w:val="18"/>
        </w:rPr>
      </w:pPr>
      <w:r>
        <w:rPr>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18"/>
        </w:rPr>
        <w:t>This Confirmation Letter is being provided pursuant to the Amended and Restated Master Firm Gas Purchase/Sale Agreement dated January 4, 2001</w:t>
      </w:r>
      <w:r>
        <w:rPr>
          <w:color w:val="0000FF"/>
          <w:sz w:val="18"/>
        </w:rPr>
        <w:t xml:space="preserve"> </w:t>
      </w:r>
      <w:r>
        <w:rPr>
          <w:sz w:val="18"/>
        </w:rPr>
        <w:t>(the “Master Agreement”), between Customer and Enron Canada, and constitutes part of and is subject to all of the terms and provisions of the Master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18"/>
        </w:rPr>
      </w:pPr>
      <w:r>
        <w:rPr>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18"/>
        </w:rPr>
      </w:pPr>
      <w:r>
        <w:rPr>
          <w:sz w:val="18"/>
        </w:rPr>
        <w:t xml:space="preserve">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18"/>
        </w:rPr>
      </w:pPr>
      <w:r>
        <w:rPr>
          <w:sz w:val="18"/>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sz w:val="18"/>
              </w:rPr>
            </w:pPr>
            <w:r>
              <w:rPr>
                <w:sz w:val="18"/>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sz w:val="18"/>
              </w:rPr>
            </w:pPr>
            <w:r>
              <w:rPr>
                <w:b/>
                <w:sz w:val="18"/>
              </w:rPr>
              <w:t>ENRON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b/>
                <w:sz w:val="18"/>
              </w:rPr>
            </w:pPr>
            <w:r>
              <w:rPr>
                <w:b/>
                <w:sz w:val="18"/>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sz w:val="18"/>
              </w:rPr>
            </w:pPr>
            <w:r>
              <w:rPr>
                <w:sz w:val="18"/>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sz w:val="18"/>
              </w:rPr>
            </w:pPr>
            <w:r>
              <w:rPr>
                <w:sz w:val="18"/>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sz w:val="18"/>
              </w:rPr>
            </w:pPr>
            <w:r>
              <w:rPr>
                <w:sz w:val="18"/>
              </w:rPr>
              <w:t>Title:</w:t>
            </w:r>
          </w:p>
        </w:tc>
        <w:tc>
          <w:tcPr>
            <w:tcW w:w="5148" w:type="dxa"/>
            <w:tcBorders>
              <w:top w:val="single" w:sz="6" w:space="0" w:color="000000"/>
              <w:bottom w:val="single" w:sz="2"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sz w:val="18"/>
        </w:rPr>
      </w:pPr>
      <w:r>
        <w:rPr>
          <w:sz w:val="18"/>
        </w:rPr>
      </w:r>
    </w:p>
    <w:p>
      <w:pPr>
        <w:pStyle w:val="Normal"/>
        <w:tabs>
          <w:tab w:val="clear" w:pos="720"/>
          <w:tab w:val="left" w:pos="-1440" w:leader="none"/>
          <w:tab w:val="left" w:pos="-720" w:leader="none"/>
        </w:tabs>
        <w:spacing w:before="0" w:after="60"/>
        <w:ind w:hanging="4320" w:start="4320" w:end="0"/>
        <w:jc w:val="end"/>
        <w:rPr>
          <w:sz w:val="18"/>
        </w:rPr>
      </w:pPr>
      <w:r>
        <w:rPr>
          <w:sz w:val="18"/>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sz w:val="18"/>
        </w:rPr>
      </w:pPr>
      <w:r>
        <w:rPr>
          <w:sz w:val="18"/>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sz w:val="18"/>
              </w:rPr>
            </w:pPr>
            <w:r>
              <w:rPr>
                <w:sz w:val="18"/>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sz w:val="18"/>
              </w:rPr>
            </w:pPr>
            <w:r>
              <w:rPr>
                <w:b/>
                <w:color w:val="0000FF"/>
                <w:sz w:val="18"/>
              </w:rPr>
              <w:t>ENGAGE ENERGY CANADA, L.P.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b/>
                <w:sz w:val="18"/>
              </w:rPr>
            </w:pPr>
            <w:r>
              <w:rPr>
                <w:b/>
                <w:sz w:val="18"/>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end"/>
              <w:rPr>
                <w:sz w:val="18"/>
              </w:rPr>
            </w:pPr>
            <w:r>
              <w:rPr>
                <w:sz w:val="18"/>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sz w:val="18"/>
              </w:rPr>
            </w:pPr>
            <w:r>
              <w:rPr>
                <w:sz w:val="18"/>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end"/>
              <w:rPr>
                <w:sz w:val="18"/>
              </w:rPr>
            </w:pPr>
            <w:r>
              <w:rPr>
                <w:sz w:val="18"/>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jc w:val="both"/>
              <w:rPr>
                <w:sz w:val="18"/>
              </w:rPr>
            </w:pPr>
            <w:r>
              <w:rPr>
                <w:sz w:val="18"/>
              </w:rPr>
            </w:r>
          </w:p>
        </w:tc>
      </w:tr>
    </w:tbl>
    <w:p>
      <w:pPr>
        <w:sectPr>
          <w:headerReference w:type="default" r:id="rId13"/>
          <w:headerReference w:type="first" r:id="rId14"/>
          <w:footerReference w:type="default" r:id="rId15"/>
          <w:footerReference w:type="first" r:id="rId16"/>
          <w:type w:val="nextPage"/>
          <w:pgSz w:w="12240" w:h="15840"/>
          <w:pgMar w:left="1440" w:right="1440" w:gutter="0" w:header="720" w:top="1008" w:footer="288" w:bottom="864"/>
          <w:pgNumType w:start="1" w:fmt="decimal"/>
          <w:formProt w:val="false"/>
          <w:titlePg/>
          <w:textDirection w:val="lrTb"/>
          <w:docGrid w:type="default" w:linePitch="360" w:charSpace="0"/>
        </w:sectPr>
      </w:pPr>
    </w:p>
    <w:p>
      <w:pPr>
        <w:pStyle w:val="BlockText"/>
        <w:rPr/>
      </w:pPr>
      <w:r>
        <w:rPr/>
        <w:t>EXHIBIT “C” TO THE AMENDED AND RESTATED MASTER FIRM GAS</w:t>
      </w:r>
    </w:p>
    <w:p>
      <w:pPr>
        <w:pStyle w:val="BlockText"/>
        <w:rPr/>
      </w:pPr>
      <w:r>
        <w:rPr/>
        <w:t xml:space="preserve">PURCHASE/SALE AGREEMENT BETWEEN ENRON CANADA CORP. </w:t>
      </w:r>
    </w:p>
    <w:p>
      <w:pPr>
        <w:pStyle w:val="Normal"/>
        <w:ind w:start="720" w:end="720"/>
        <w:jc w:val="center"/>
        <w:rPr/>
      </w:pPr>
      <w:r>
        <w:rPr>
          <w:b/>
          <w:caps/>
        </w:rPr>
        <w:t xml:space="preserve">AND </w:t>
      </w:r>
      <w:r>
        <w:rPr>
          <w:b/>
          <w:caps/>
          <w:color w:val="0000FF"/>
        </w:rPr>
        <w:t>engage energy canada, l.p. dated JANUARY 4, 2001</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CONFIDENTIAL GUARANTEE AGREEMENT</w:t>
      </w:r>
    </w:p>
    <w:p>
      <w:pPr>
        <w:pStyle w:val="Normal"/>
        <w:tabs>
          <w:tab w:val="clear" w:pos="720"/>
          <w:tab w:val="left" w:pos="1440" w:leader="none"/>
          <w:tab w:val="left" w:pos="2160" w:leader="none"/>
          <w:tab w:val="right" w:pos="9360" w:leader="none"/>
        </w:tabs>
        <w:jc w:val="both"/>
        <w:rPr>
          <w:b/>
        </w:rPr>
      </w:pPr>
      <w:r>
        <w:rPr>
          <w:b/>
        </w:rPr>
      </w:r>
    </w:p>
    <w:p>
      <w:pPr>
        <w:pStyle w:val="Heading2"/>
        <w:spacing w:before="0" w:after="240"/>
        <w:rPr/>
      </w:pPr>
      <w:r>
        <w:rPr/>
        <w:t>This Guarantee Agreement (this “</w:t>
      </w:r>
      <w:r>
        <w:rPr>
          <w:u w:val="single"/>
        </w:rPr>
        <w:t>Guarantee</w:t>
      </w:r>
      <w:r>
        <w:rPr/>
        <w:t>”), dated effective as of January 4, 2001, is made and entered into between Enron Corp., an Oregon corporation (“</w:t>
      </w:r>
      <w:r>
        <w:rPr>
          <w:u w:val="single"/>
        </w:rPr>
        <w:t>Guarantor</w:t>
      </w:r>
      <w:r>
        <w:rPr/>
        <w:t>”), and Engage Energy Canada, L.P., a limited partnership (“</w:t>
      </w:r>
      <w:r>
        <w:rPr>
          <w:u w:val="single"/>
        </w:rPr>
        <w:t>Contract Party</w:t>
      </w:r>
      <w:r>
        <w:rPr/>
        <w:t>”).</w:t>
      </w:r>
    </w:p>
    <w:p>
      <w:pPr>
        <w:pStyle w:val="Heading2"/>
        <w:spacing w:before="0" w:after="240"/>
        <w:rPr/>
      </w:pPr>
      <w:r>
        <w:rPr/>
        <w:t>WHEREAS, (a) Contract Party and Enron Canada Corp., a wholly owned indirect subsidiary of Guarantor (“</w:t>
      </w:r>
      <w:r>
        <w:rPr>
          <w:u w:val="single"/>
        </w:rPr>
        <w:t>Obligor</w:t>
      </w:r>
      <w:r>
        <w:rPr/>
        <w:t>”), are contemplating entering into an Amended and Restated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and (b) Guarantor will directly or indirectly benefit from the Gas Contract.</w:t>
      </w:r>
    </w:p>
    <w:p>
      <w:pPr>
        <w:pStyle w:val="Heading2"/>
        <w:spacing w:before="0" w:after="240"/>
        <w:rPr/>
      </w:pPr>
      <w:r>
        <w:rPr/>
        <w:t>NOW THEREFORE, to induce Contract Party to enter into the Gas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under the Gas Contract (a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Gas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(g) the release or waiver, by operation of law or otherwise, of the performance or observance by any co-guarantor, surety, endorser or other obligor of any express or implied covenant, term or condition to be performed or observed by it under the Gas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thirty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Gas Contract that ever shall be required to be paid by Guarantor shall not exceed </w:t>
      </w:r>
      <w:r>
        <w:rPr>
          <w:color w:val="0000FF"/>
        </w:rPr>
        <w:t>U.S. $10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rPr>
      </w:pPr>
      <w:r>
        <w:rPr>
          <w:color w:val="0000FF"/>
        </w:rPr>
        <w:t>Engage Energy Canada, L.P.</w:t>
      </w:r>
    </w:p>
    <w:p>
      <w:pPr>
        <w:pStyle w:val="Normal"/>
        <w:ind w:start="360" w:end="0"/>
        <w:jc w:val="both"/>
        <w:rPr/>
      </w:pPr>
      <w:r>
        <w:rPr>
          <w:color w:val="0000FF"/>
        </w:rPr>
        <w:t>1100, 421 – 7</w:t>
      </w:r>
      <w:r>
        <w:rPr>
          <w:color w:val="0000FF"/>
          <w:vertAlign w:val="superscript"/>
        </w:rPr>
        <w:t>th</w:t>
      </w:r>
      <w:r>
        <w:rPr>
          <w:color w:val="0000FF"/>
        </w:rPr>
        <w:t xml:space="preserve"> Avenue S.W.</w:t>
      </w:r>
    </w:p>
    <w:p>
      <w:pPr>
        <w:pStyle w:val="Normal"/>
        <w:ind w:start="360" w:end="0"/>
        <w:jc w:val="both"/>
        <w:rPr>
          <w:color w:val="0000FF"/>
          <w:u w:val="single"/>
        </w:rPr>
      </w:pPr>
      <w:r>
        <w:rPr>
          <w:color w:val="0000FF"/>
        </w:rPr>
        <w:t>Calgary, Alberta  T2P 4K9</w:t>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including, to the extent such guarantee secures the Obligations of Obligor to Contract Party, the 1998 Enron Guarantee, which guarantee is hereby revoked for the purposes of securing the Obligations of Obligor to Contract Party upon the full execution of this Guarantee.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color w:val="0000FF"/>
              </w:rPr>
              <w:t>ENGAGE ENERGY CANADA, L.P.</w:t>
            </w:r>
          </w:p>
        </w:tc>
      </w:tr>
      <w:tr>
        <w:trPr/>
        <w:tc>
          <w:tcPr>
            <w:tcW w:w="4158" w:type="dxa"/>
            <w:tcBorders/>
          </w:tcPr>
          <w:p>
            <w:pPr>
              <w:pStyle w:val="Normal"/>
              <w:snapToGrid w:val="false"/>
              <w:jc w:val="both"/>
              <w:rPr>
                <w:b/>
              </w:rPr>
            </w:pPr>
            <w:r>
              <w:rPr>
                <w:b/>
              </w:rPr>
            </w:r>
          </w:p>
          <w:p>
            <w:pPr>
              <w:pStyle w:val="Normal"/>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sectPr>
          <w:headerReference w:type="default" r:id="rId17"/>
          <w:headerReference w:type="first" r:id="rId18"/>
          <w:footerReference w:type="default" r:id="rId19"/>
          <w:footerReference w:type="first" r:id="rId20"/>
          <w:type w:val="nextPage"/>
          <w:pgSz w:w="12240" w:h="15840"/>
          <w:pgMar w:left="1440" w:right="1440" w:gutter="0" w:header="720" w:top="1008" w:footer="288" w:bottom="1008"/>
          <w:pgNumType w:start="1" w:fmt="decimal"/>
          <w:formProt w:val="false"/>
          <w:titlePg/>
          <w:textDirection w:val="lrTb"/>
          <w:docGrid w:type="default" w:linePitch="360" w:charSpace="0"/>
        </w:sectPr>
        <w:pStyle w:val="Normal"/>
        <w:jc w:val="both"/>
        <w:rPr>
          <w:b/>
        </w:rPr>
      </w:pPr>
      <w:r>
        <w:rPr>
          <w:b/>
        </w:rPr>
      </w:r>
    </w:p>
    <w:p>
      <w:pPr>
        <w:pStyle w:val="BlockText"/>
        <w:rPr/>
      </w:pPr>
      <w:r>
        <w:rPr/>
        <w:t>EXHIBIT “d” TO THE AMENDED AND RESTATED MASTER FIRM GAS</w:t>
      </w:r>
    </w:p>
    <w:p>
      <w:pPr>
        <w:pStyle w:val="BlockText"/>
        <w:rPr/>
      </w:pPr>
      <w:r>
        <w:rPr/>
        <w:t xml:space="preserve">PURCHASE/SALE AGREEMENT BETWEEN ENRON CANADA CORP. </w:t>
      </w:r>
    </w:p>
    <w:p>
      <w:pPr>
        <w:pStyle w:val="Normal"/>
        <w:ind w:start="720" w:end="720"/>
        <w:jc w:val="center"/>
        <w:rPr/>
      </w:pPr>
      <w:r>
        <w:rPr>
          <w:b/>
          <w:caps/>
        </w:rPr>
        <w:t xml:space="preserve">AND </w:t>
      </w:r>
      <w:r>
        <w:rPr>
          <w:b/>
          <w:caps/>
          <w:color w:val="0000FF"/>
        </w:rPr>
        <w:t>engage energy canada, l.p. dated jANUARY 4, 2001</w:t>
      </w:r>
    </w:p>
    <w:p>
      <w:pPr>
        <w:pStyle w:val="Normal"/>
        <w:jc w:val="center"/>
        <w:rPr>
          <w:b/>
          <w:caps/>
          <w:color w:val="0000FF"/>
        </w:rPr>
      </w:pPr>
      <w:r>
        <w:rPr>
          <w:b/>
          <w:caps/>
          <w:color w:val="0000FF"/>
        </w:rPr>
      </w:r>
    </w:p>
    <w:p>
      <w:pPr>
        <w:pStyle w:val="Normal"/>
        <w:jc w:val="center"/>
        <w:rPr>
          <w:u w:val="single"/>
        </w:rPr>
      </w:pPr>
      <w:r>
        <w:rPr>
          <w:u w:val="single"/>
        </w:rPr>
        <w:t>CONFIDENTIAL GUARANTEE AGREEMENT</w:t>
      </w:r>
    </w:p>
    <w:p>
      <w:pPr>
        <w:pStyle w:val="Normal"/>
        <w:jc w:val="center"/>
        <w:rPr/>
      </w:pPr>
      <w:r>
        <w:rPr/>
      </w:r>
    </w:p>
    <w:p>
      <w:pPr>
        <w:pStyle w:val="Heading2"/>
        <w:spacing w:before="0" w:after="240"/>
        <w:rPr/>
      </w:pPr>
      <w:r>
        <w:rPr/>
        <w:t>This Guarantee Agreement (this “</w:t>
      </w:r>
      <w:r>
        <w:rPr>
          <w:u w:val="single"/>
        </w:rPr>
        <w:t>Guarantee</w:t>
      </w:r>
      <w:r>
        <w:rPr/>
        <w:t>”), dated effective as of January 4, 2001, is made and entered into between Westcoast Energy Inc.,</w:t>
      </w:r>
      <w:r>
        <w:rPr>
          <w:color w:val="0000FF"/>
        </w:rPr>
        <w:t xml:space="preserve"> a Canadian corporation </w:t>
      </w:r>
      <w:r>
        <w:rPr/>
        <w:t>(“</w:t>
      </w:r>
      <w:r>
        <w:rPr>
          <w:u w:val="single"/>
        </w:rPr>
        <w:t>Guarantor</w:t>
      </w:r>
      <w:r>
        <w:rPr/>
        <w:t>”), and Enron Canada Corp., an Alberta corporation (“</w:t>
      </w:r>
      <w:r>
        <w:rPr>
          <w:u w:val="single"/>
        </w:rPr>
        <w:t>Contract Party</w:t>
      </w:r>
      <w:r>
        <w:rPr/>
        <w:t>”).</w:t>
      </w:r>
    </w:p>
    <w:p>
      <w:pPr>
        <w:pStyle w:val="Heading2"/>
        <w:spacing w:before="0" w:after="240"/>
        <w:rPr/>
      </w:pPr>
      <w:r>
        <w:rPr/>
        <w:t>WHEREAS, (a) Contract Party and Engage Energy Canada, L.P., a limited partnership (“</w:t>
      </w:r>
      <w:r>
        <w:rPr>
          <w:u w:val="single"/>
        </w:rPr>
        <w:t>Obligor</w:t>
      </w:r>
      <w:r>
        <w:rPr/>
        <w:t>”), are contemplating entering into an Amended and Restated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and (b) Guarantor will directly or indirectly benefit from the Gas Contract.</w:t>
      </w:r>
    </w:p>
    <w:p>
      <w:pPr>
        <w:pStyle w:val="Heading2"/>
        <w:spacing w:before="0" w:after="240"/>
        <w:rPr/>
      </w:pPr>
      <w:r>
        <w:rPr/>
        <w:t>NOW THEREFORE, to induce Contract Party to enter into the Gas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Notwithstanding the foregoing, Guarantor may terminate this Guarantee by providing written notice of such termination to Contract Party.  No such termination shall be effective until thirty (30) days after receipt by Contract Party of such termination notice.  No such termination shall affect Guarantor’s liability with respect to any Transactions under the Gas Contract entered into prior to the time the termination is effective, which Transactions and the Obligations thereunder shall remain guaranteed pursuant to the terms of this Guarantee.  No notice of the Obligations or any transaction under the Gas Contract (a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any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Gas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(g) the release or waiver, by operation of law or otherwise, of the performance or observance by any co-guarantor, surety, endorser or other obligor of any express or implied covenant, term or condition to be performed or observed by it under the Gas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thirty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Gas Contract that ever shall be required to be paid by Guarantor shall not exceed </w:t>
      </w:r>
      <w:r>
        <w:rPr>
          <w:color w:val="0000FF"/>
        </w:rPr>
        <w:t>U.S. $10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rPr>
        <w:t>Westcoast Energy Inc.</w:t>
      </w:r>
    </w:p>
    <w:p>
      <w:pPr>
        <w:pStyle w:val="Normal"/>
        <w:ind w:start="360" w:end="0"/>
        <w:jc w:val="both"/>
        <w:rPr>
          <w:color w:val="0000FF"/>
        </w:rPr>
      </w:pPr>
      <w:r>
        <w:rPr>
          <w:color w:val="0000FF"/>
        </w:rPr>
        <w:t>1333 West Georgia Street</w:t>
      </w:r>
    </w:p>
    <w:p>
      <w:pPr>
        <w:pStyle w:val="Normal"/>
        <w:ind w:start="360" w:end="0"/>
        <w:jc w:val="both"/>
        <w:rPr>
          <w:color w:val="0000FF"/>
        </w:rPr>
      </w:pPr>
      <w:r>
        <w:rPr>
          <w:color w:val="0000FF"/>
        </w:rPr>
        <w:t xml:space="preserve">Vancouver, British Columbia   </w:t>
      </w:r>
    </w:p>
    <w:p>
      <w:pPr>
        <w:pStyle w:val="Normal"/>
        <w:ind w:start="360" w:end="0"/>
        <w:jc w:val="both"/>
        <w:rPr>
          <w:color w:val="0000FF"/>
          <w:u w:val="single"/>
        </w:rPr>
      </w:pPr>
      <w:r>
        <w:rPr>
          <w:color w:val="0000FF"/>
        </w:rPr>
        <w:t>Attention:  Assistant Treasurer</w:t>
      </w:r>
    </w:p>
    <w:p>
      <w:pPr>
        <w:pStyle w:val="Normal"/>
        <w:ind w:start="360" w:end="0"/>
        <w:jc w:val="both"/>
        <w:rPr>
          <w:color w:val="0000FF"/>
          <w:u w:val="single"/>
        </w:rPr>
      </w:pPr>
      <w:r>
        <w:rPr>
          <w:color w:val="0000FF"/>
        </w:rPr>
        <w:t>Facsimile:  (604) 488-8070</w:t>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including, to the extent such guarantee secures the Obligations of Obligor to Contract Party, the 1998 Coastal Guarantee, which guarantee is hereby revoked for the purposes of securing the Obligations of Obligor to Contract Party upon the full execution of this Guarantee.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jc w:val="both"/>
              <w:rPr>
                <w:b/>
              </w:rPr>
            </w:pPr>
            <w:r>
              <w:rPr>
                <w:b/>
              </w:rPr>
              <w:t>WESTCOAST ENERGY INC.</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p>
            <w:pPr>
              <w:pStyle w:val="Normal"/>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p>
    <w:p>
      <w:pPr>
        <w:pStyle w:val="Justified"/>
        <w:spacing w:before="0" w:after="120"/>
        <w:rPr>
          <w:b/>
        </w:rPr>
      </w:pPr>
      <w:r>
        <w:rPr>
          <w:b/>
        </w:rPr>
      </w:r>
    </w:p>
    <w:sectPr>
      <w:headerReference w:type="default" r:id="rId21"/>
      <w:headerReference w:type="first" r:id="rId22"/>
      <w:footerReference w:type="default" r:id="rId23"/>
      <w:footerReference w:type="first" r:id="rId24"/>
      <w:type w:val="nextPage"/>
      <w:pgSz w:w="12240" w:h="15840"/>
      <w:pgMar w:left="1440" w:right="1440" w:gutter="0" w:header="720" w:top="1008" w:footer="288"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r>
      <w:rPr>
        <w:rFonts w:eastAsia="Arial"/>
        <w:sz w:val="16"/>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left" w:pos="432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p>
    <w:pPr>
      <w:pStyle w:val="Normal"/>
      <w:pBdr>
        <w:top w:val="single" w:sz="6" w:space="0" w:color="000000"/>
      </w:pBdr>
      <w:tabs>
        <w:tab w:val="clear" w:pos="720"/>
        <w:tab w:val="left" w:pos="4320" w:leader="none"/>
        <w:tab w:val="right" w:pos="9360" w:leader="none"/>
      </w:tabs>
      <w:jc w:val="both"/>
      <w:rPr/>
    </w:pPr>
    <w:r>
      <w:rPr>
        <w:sz w:val="16"/>
        <w:lang w:eastAsia="en-US"/>
      </w:rPr>
      <w:tab/>
    </w:r>
    <w:r>
      <w:rPr>
        <w:sz w:val="16"/>
      </w:rPr>
      <w:t>i.</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r>
      <w:rPr>
        <w:sz w:val="16"/>
        <w:lang w:eastAsia="en-US"/>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/mnt/main-storage/datasets/enron-docs/doc/Amended_Restated.Master_2000__5.doc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w:t>
    </w:r>
  </w:p>
  <w:p>
    <w:pPr>
      <w:pStyle w:val="Header"/>
      <w:jc w:val="center"/>
      <w:rPr>
        <w:rStyle w:val="PageNumber"/>
      </w:rPr>
    </w:pPr>
    <w:r>
      <w:rPr/>
    </w:r>
  </w:p>
  <w:p>
    <w:pPr>
      <w:pStyle w:val="Header"/>
      <w:jc w:val="center"/>
      <w:rPr>
        <w:rStyle w:val="PageNumb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0</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“C”</w:t>
    </w:r>
  </w:p>
  <w:p>
    <w:pPr>
      <w:pStyle w:val="Header"/>
      <w:rPr/>
    </w:pPr>
    <w:r>
      <w:rPr/>
      <w:t>Confidential Guarantee Agreement (Enron Canada's Guarantor)</w:t>
    </w:r>
  </w:p>
  <w:p>
    <w:pPr>
      <w:pStyle w:val="Header"/>
      <w:rPr/>
    </w:pPr>
    <w:r>
      <w:rPr/>
      <w:t xml:space="preserve">Page </w:t>
    </w:r>
    <w:r>
      <w:rPr/>
      <w:fldChar w:fldCharType="begin"/>
    </w:r>
    <w:r>
      <w:rPr/>
      <w:instrText xml:space="preserve"> PAGE </w:instrText>
    </w:r>
    <w:r>
      <w:rPr/>
      <w:fldChar w:fldCharType="separate"/>
    </w:r>
    <w:r>
      <w:rPr/>
      <w:t>4</w:t>
    </w:r>
    <w:r>
      <w:rPr/>
      <w:fldChar w:fldCharType="end"/>
    </w:r>
  </w:p>
  <w:p>
    <w:pPr>
      <w:pStyle w:val="Header"/>
      <w:rPr/>
    </w:pPr>
    <w:r>
      <w:rPr/>
      <w:t>______________________</w:t>
    </w:r>
  </w:p>
  <w:p>
    <w:pPr>
      <w:pStyle w:val="Header"/>
      <w:rPr/>
    </w:pPr>
    <w:r>
      <w:rPr/>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“D”</w:t>
    </w:r>
  </w:p>
  <w:p>
    <w:pPr>
      <w:pStyle w:val="Header"/>
      <w:rPr/>
    </w:pPr>
    <w:r>
      <w:rPr/>
      <w:t>Confidential Guarantee Agreement (Customer’s Guarantor)</w:t>
    </w:r>
  </w:p>
  <w:p>
    <w:pPr>
      <w:pStyle w:val="Header"/>
      <w:rPr/>
    </w:pPr>
    <w:r>
      <w:rPr/>
      <w:t xml:space="preserve">Page </w:t>
    </w:r>
    <w:r>
      <w:rPr/>
      <w:fldChar w:fldCharType="begin"/>
    </w:r>
    <w:r>
      <w:rPr/>
      <w:instrText xml:space="preserve"> PAGE </w:instrText>
    </w:r>
    <w:r>
      <w:rPr/>
      <w:fldChar w:fldCharType="separate"/>
    </w:r>
    <w:r>
      <w:rPr/>
      <w:t>4</w:t>
    </w:r>
    <w:r>
      <w:rPr/>
      <w:fldChar w:fldCharType="end"/>
    </w:r>
  </w:p>
  <w:p>
    <w:pPr>
      <w:pStyle w:val="Header"/>
      <w:rPr>
        <w:u w:val="single"/>
      </w:rPr>
    </w:pPr>
    <w:r>
      <w:rPr>
        <w:u w:val="single"/>
      </w:rPr>
      <w:tab/>
    </w:r>
  </w:p>
  <w:p>
    <w:pPr>
      <w:pStyle w:val="Normal"/>
      <w:tabs>
        <w:tab w:val="clear" w:pos="720"/>
        <w:tab w:val="center" w:pos="4680" w:leader="none"/>
        <w:tab w:val="right" w:pos="9360" w:leader="none"/>
      </w:tabs>
      <w:jc w:val="both"/>
      <w:rPr>
        <w:u w:val="single"/>
      </w:rPr>
    </w:pPr>
    <w:r>
      <w:rPr>
        <w:u w:val="single"/>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Arial" w:hAnsi="Arial" w:cs="Arial"/>
      <w:b w:val="false"/>
      <w:i w:val="false"/>
      <w:color w:val="0000FF"/>
      <w:sz w:val="20"/>
      <w:u w:val="none"/>
    </w:rPr>
  </w:style>
  <w:style w:type="character" w:styleId="WW8Num5z0">
    <w:name w:val="WW8Num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tabs>
        <w:tab w:val="clear" w:pos="720"/>
        <w:tab w:val="left" w:pos="1152" w:leader="none"/>
        <w:tab w:val="left" w:pos="2016" w:leader="none"/>
        <w:tab w:val="left" w:pos="2880" w:leader="none"/>
        <w:tab w:val="left" w:pos="3744" w:leader="none"/>
        <w:tab w:val="left" w:pos="5760" w:leader="none"/>
      </w:tabs>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caps/>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Indent">
    <w:name w:val="Body Text Indent"/>
    <w:basedOn w:val="Normal"/>
    <w:pPr>
      <w:ind w:hanging="0" w:start="360" w:end="0"/>
      <w:jc w:val="both"/>
    </w:pPr>
    <w:rPr/>
  </w:style>
  <w:style w:type="paragraph" w:styleId="BlockText">
    <w:name w:val="Block Text"/>
    <w:basedOn w:val="Normal"/>
    <w:qFormat/>
    <w:pPr>
      <w:ind w:hanging="0" w:start="720" w:end="720"/>
      <w:jc w:val="center"/>
    </w:pPr>
    <w:rPr>
      <w:b/>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2001-01-11T17:48:00Z</dcterms:created>
  <dc:creator>ushah</dc:creator>
  <dc:description/>
  <cp:keywords>Master Firm Gas Purchase/Sale Agreement - CDN3109.DOC</cp:keywords>
  <dc:language>en-CA</dc:language>
  <cp:lastModifiedBy>scrawfo3</cp:lastModifiedBy>
  <cp:lastPrinted>2001-01-11T13:38:00Z</cp:lastPrinted>
  <dcterms:modified xsi:type="dcterms:W3CDTF">2001-02-16T16:31:00Z</dcterms:modified>
  <cp:revision>5</cp:revision>
  <dc:subject>new precedent</dc:subject>
  <dc:title>Master Firm Gas Purchase/Sale Agreement</dc:title>
</cp:coreProperties>
</file>