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November ____,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Amended and Restated Transaction Agreement shall amend and restate the Transaction Agreement dated August 17, 2000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Amended and Restated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35,000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At the Glenrock delivery point into the Medicine Bow Lateral facilities of Wyoming Interstate Company, Ltd. (“WIC”).  Customer to provide to Company, at no charge to Company, all volumes of Fuel Gas required by Trailblazer and WIC to transport the DCQ from the Glenrock delivery point to the interconnect between Trailblazer and Natural Gas Pipeline Co. of America (“NGPL”) at </w:t>
      </w:r>
      <w:r>
        <w:rPr>
          <w:rFonts w:cs="Arial Narrow" w:ascii="Arial Narrow" w:hAnsi="Arial Narrow"/>
          <w:sz w:val="18"/>
        </w:rPr>
        <w:t>Gage.</w:t>
      </w:r>
    </w:p>
    <w:p>
      <w:pPr>
        <w:pStyle w:val="BodyText"/>
        <w:ind w:hanging="4680" w:start="4680" w:end="0"/>
        <w:rPr>
          <w:sz w:val="19"/>
        </w:rPr>
      </w:pPr>
      <w:r>
        <w:rPr>
          <w:rFonts w:cs="Arial Narrow" w:ascii="Arial Narrow" w:hAnsi="Arial Narrow"/>
          <w:sz w:val="19"/>
          <w:szCs w:val="24"/>
        </w:rPr>
        <w:t>CONTRACT PRICE (per MMBtu):</w:t>
      </w:r>
      <w:r>
        <w:rPr>
          <w:rFonts w:cs="Arial Narrow" w:ascii="Arial Narrow" w:hAnsi="Arial Narrow"/>
          <w:sz w:val="19"/>
        </w:rPr>
        <w:tab/>
        <w:t xml:space="preserve">The NGPL-MidContinent Index minus $0.01 and minus  the Transport Charges for each delivery month (i.e. NGPL-MidContinent Index minus $0.376 plus Fuel Gas).  “NGPL-MidContinent Index” means the price for natural gas for the applicable delivery month in U.S. dollars per MMBtu published in the first issue in that month by </w:t>
      </w:r>
      <w:r>
        <w:rPr>
          <w:rFonts w:cs="Arial Narrow" w:ascii="Arial Narrow" w:hAnsi="Arial Narrow"/>
          <w:i/>
          <w:iCs/>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FERC-approved rate schedule for the Trailblazer expansion, inclusive of all demand charges, commodity charges, and all other applicable charges, which expansion is the subject of the Precedent Agreement (hereinafter defined), effective for the delivery Month, for firm transportation service from Cheyenne to Gage, invoiced by Trailblazer, relative to the DCQ and including WIC transportation charges for Trailblazer Fuel Gas, and (ii) the net sum of all transportation charges/credits, effective for the delivery month, paid by Buyer to WIC, inclusive of all demand charges, commodity charges, and all other applicable charges invoiced by WIC for transport on the WIC system from Glenrock to Cheyenne (Rockport) relative to the DCQ, and all other applicable charges for Trailblazer and WIC.  During all periods of Force Majeure hereunder, Seller shall reimburse Buyer for the Transport Charges as invoiced by Trailblazer and WIC.</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The Period of Delivery shall commence on the in-service date of the Trailblazer expansion under the Precedent Agreement and ending on the eleventh anniversary thereof.</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Trailblazer Pipeline Company (“Trailblazer”), as such expansion is defined under that certain Precedent Agreement Open Season between Buyer and Trailblazer dated August 18, 2000 (the “Precedent Agreement”) for firm delivery service to Gage at the interconnect of Trailblazer with the facilities of Natural Gas Pipeline Co. of America (NGPL), (the “Trailblazer Transport”) and (ii) the Medicine Bow Lateral facilities of Wyoming Interstate Company, Ltd (“WIC”) under that certain Firm Transportation Service Agreement – Rate Schedule FT between Buyer and Wyoming Interstate Company, Ltd. dated September 1, 1999 as the same may be amended or extened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Trailblazer’s associated capacity allocation process for its expansion under the Precedent Agreement, the DCQ hereunder shall be revised to equal that portion of the DCQ allocated to Company by Trailbazer</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Amended and Restated Transaction Agreement by giving 10 days prior written notice thereof to the other Party.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/mnt/main-storage/datasets/enron-docs/doc/AmendJ_M_HuberConfirmTrans1_Finala.doc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AmendJ_M_HuberConfirmTrans1_Finala.doc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November 14,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2000-11-13T21:07:00Z</dcterms:created>
  <dc:creator>dhyvl</dc:creator>
  <dc:description/>
  <dc:language>en-CA</dc:language>
  <cp:lastModifiedBy>gnemec</cp:lastModifiedBy>
  <cp:lastPrinted>2000-11-13T11:04:00Z</cp:lastPrinted>
  <dcterms:modified xsi:type="dcterms:W3CDTF">2000-11-13T21:08:00Z</dcterms:modified>
  <cp:revision>3</cp:revision>
  <dc:subject/>
  <dc:title>June 1,  2000</dc:title>
</cp:coreProperties>
</file>