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AMENDMENT NO. 1 TO GAS PURCHASE AND AGENCY AGREEMENT BY AND BETWEEN THE PEOPLES GAS LIGHT AND COKE COMPANY AND ENRON NORTH AMERICA CORP., DATED SEPTEMBER 16, 1999</w:t>
      </w:r>
      <w:r>
        <mc:AlternateContent>
          <mc:Choice Requires="wps">
            <w:drawing>
              <wp:anchor behindDoc="0" distT="0" distB="0" distL="114935" distR="114935" simplePos="0" locked="0" layoutInCell="1" allowOverlap="1" relativeHeight="4">
                <wp:simplePos x="0" y="0"/>
                <wp:positionH relativeFrom="column">
                  <wp:posOffset>-777240</wp:posOffset>
                </wp:positionH>
                <wp:positionV relativeFrom="paragraph">
                  <wp:posOffset>-731520</wp:posOffset>
                </wp:positionV>
                <wp:extent cx="3200400" cy="548640"/>
                <wp:effectExtent l="0" t="0" r="0" b="0"/>
                <wp:wrapNone/>
                <wp:docPr id="1" name="Frame1"/>
                <a:graphic xmlns:a="http://schemas.openxmlformats.org/drawingml/2006/main">
                  <a:graphicData uri="http://schemas.microsoft.com/office/word/2010/wordprocessingShape">
                    <wps:wsp>
                      <wps:cNvSpPr txBox="1"/>
                      <wps:spPr>
                        <a:xfrm>
                          <a:off x="0" y="0"/>
                          <a:ext cx="3200400" cy="548640"/>
                        </a:xfrm>
                        <a:prstGeom prst="rect"/>
                        <a:solidFill>
                          <a:srgbClr val="FFFFFF"/>
                        </a:solidFill>
                      </wps:spPr>
                      <wps:txbx>
                        <w:txbxContent>
                          <w:p>
                            <w:pPr>
                              <w:pStyle w:val="Normal"/>
                              <w:rPr>
                                <w:b/>
                                <w:sz w:val="22"/>
                              </w:rPr>
                            </w:pPr>
                            <w:r>
                              <w:rPr>
                                <w:b/>
                                <w:sz w:val="22"/>
                              </w:rPr>
                              <w:t>CONFIDENTIAL/DRAFT (11/27/00)</w:t>
                            </w:r>
                          </w:p>
                        </w:txbxContent>
                      </wps:txbx>
                      <wps:bodyPr anchor="t" lIns="92075" tIns="46355" rIns="92075" bIns="46355">
                        <a:noAutofit/>
                      </wps:bodyPr>
                    </wps:wsp>
                  </a:graphicData>
                </a:graphic>
              </wp:anchor>
            </w:drawing>
          </mc:Choice>
          <mc:Fallback>
            <w:pict>
              <v:rect fillcolor="#FFFFFF" style="position:absolute;rotation:-0;width:252pt;height:43.2pt;mso-wrap-distance-left:9.05pt;mso-wrap-distance-right:9.05pt;mso-wrap-distance-top:0pt;mso-wrap-distance-bottom:0pt;margin-top:-57.6pt;mso-position-vertical-relative:text;margin-left:-61.2pt;mso-position-horizontal-relative:text">
                <v:textbox inset="0.100694444444444in,0.0506944444444444in,0.100694444444444in,0.0506944444444444in">
                  <w:txbxContent>
                    <w:p>
                      <w:pPr>
                        <w:pStyle w:val="Normal"/>
                        <w:rPr>
                          <w:b/>
                          <w:sz w:val="22"/>
                        </w:rPr>
                      </w:pPr>
                      <w:r>
                        <w:rPr>
                          <w:b/>
                          <w:sz w:val="22"/>
                        </w:rPr>
                        <w:t>CONFIDENTIAL/DRAFT (11/27/00)</w:t>
                      </w:r>
                    </w:p>
                  </w:txbxContent>
                </v:textbox>
                <w10:wrap type="none"/>
              </v:rect>
            </w:pict>
          </mc:Fallback>
        </mc:AlternateContent>
      </w:r>
    </w:p>
    <w:p>
      <w:pPr>
        <w:pStyle w:val="Normal"/>
        <w:jc w:val="center"/>
        <w:rPr>
          <w:b/>
          <w:sz w:val="22"/>
        </w:rPr>
      </w:pPr>
      <w:r>
        <w:rPr>
          <w:b/>
          <w:sz w:val="22"/>
        </w:rPr>
      </w:r>
    </w:p>
    <w:p>
      <w:pPr>
        <w:pStyle w:val="BodyText2"/>
        <w:spacing w:lineRule="auto" w:line="360"/>
        <w:rPr/>
      </w:pPr>
      <w:r>
        <w:rPr/>
        <w:tab/>
        <w:t>This Amendment No. 1 to the Gas Purchase and Agency Agreement by and between The Peoples Gas Light and Coke Company and Enron North America Corp., dated September 16, 1999 (“Agreement”), is entered into this ___ day of ______________ , 2000.</w:t>
      </w:r>
    </w:p>
    <w:p>
      <w:pPr>
        <w:pStyle w:val="BodyText2"/>
        <w:spacing w:lineRule="auto" w:line="360"/>
        <w:rPr/>
      </w:pPr>
      <w:r>
        <w:rPr/>
      </w:r>
    </w:p>
    <w:p>
      <w:pPr>
        <w:pStyle w:val="BodyText2"/>
        <w:spacing w:lineRule="auto" w:line="360"/>
        <w:rPr/>
      </w:pPr>
      <w:r>
        <w:rPr/>
        <w:tab/>
        <w:t>WHEREAS, The Peoples Gas Light and Coke Company (“Buyer”) and Enron North America Corp. (“Seller”) are parties to the Agreement; and</w:t>
      </w:r>
    </w:p>
    <w:p>
      <w:pPr>
        <w:pStyle w:val="BodyText2"/>
        <w:spacing w:lineRule="auto" w:line="360"/>
        <w:rPr/>
      </w:pPr>
      <w:r>
        <w:rPr/>
        <w:tab/>
        <w:t xml:space="preserve">WHEREAS, Buyer and Seller wish to amend the Agreement to clarify certain provisions; </w:t>
      </w:r>
    </w:p>
    <w:p>
      <w:pPr>
        <w:pStyle w:val="BodyText2"/>
        <w:spacing w:lineRule="auto" w:line="360"/>
        <w:rPr/>
      </w:pPr>
      <w:r>
        <w:rPr/>
        <w:tab/>
        <w:t>NOW, THEREFORE, in consideration of the covenants and agreements contained in this Amendment, Buyer and Seller agree as follows:</w:t>
      </w:r>
    </w:p>
    <w:p>
      <w:pPr>
        <w:pStyle w:val="BodyText2"/>
        <w:spacing w:lineRule="auto" w:line="360"/>
        <w:rPr/>
      </w:pPr>
      <w:r>
        <w:rPr/>
        <w:t>A.</w:t>
        <w:tab/>
        <w:t>To delete Section I.7, definition of “Business Day,” in its entirety, and insert in its place the following as Section I.7:  “Business Day” means a Day on which the New York Mercantile Exchange is open.  Each such Business Day shall commence at 7:00 a.m. C.T. and end at 5:00 p.m. C.T.</w:t>
      </w:r>
    </w:p>
    <w:p>
      <w:pPr>
        <w:pStyle w:val="BodyText2"/>
        <w:spacing w:lineRule="auto" w:line="360"/>
        <w:rPr/>
      </w:pPr>
      <w:r>
        <w:rPr/>
        <w:t>B.</w:t>
        <w:tab/>
        <w:t>To delete from Section 2.7(a) the time “8:00 a.m. C.T.” and insert in its place the time “8:30 a.m. C.T.”</w:t>
      </w:r>
    </w:p>
    <w:p>
      <w:pPr>
        <w:pStyle w:val="BodyText2"/>
        <w:spacing w:lineRule="auto" w:line="360"/>
        <w:rPr/>
      </w:pPr>
      <w:r>
        <w:rPr/>
        <w:t>C.</w:t>
        <w:tab/>
        <w:t>To insert as a new Section 37A the following definition:  “Northern Border Quantity” shall have the meaning ascribed to such term in Section 5.2.</w:t>
      </w:r>
    </w:p>
    <w:p>
      <w:pPr>
        <w:pStyle w:val="BodyText2"/>
        <w:spacing w:lineRule="auto" w:line="360"/>
        <w:rPr/>
      </w:pPr>
      <w:r>
        <w:rPr/>
        <w:t>D.</w:t>
        <w:tab/>
        <w:t>To delete Sections 5.1 and 5.2 in their entirety and insert in their place the following as new Sections 5.1, 5.2 and 5.3:</w:t>
      </w:r>
    </w:p>
    <w:p>
      <w:pPr>
        <w:pStyle w:val="Normal"/>
        <w:spacing w:lineRule="auto" w:line="360"/>
        <w:rPr/>
      </w:pPr>
      <w:r>
        <w:rPr>
          <w:sz w:val="22"/>
        </w:rPr>
        <w:t>5.1</w:t>
        <w:tab/>
      </w:r>
      <w:r>
        <w:rPr>
          <w:sz w:val="22"/>
          <w:u w:val="single"/>
        </w:rPr>
        <w:t>Delivery Points</w:t>
      </w:r>
      <w:r>
        <w:fldChar w:fldCharType="begin"/>
      </w:r>
      <w:r>
        <w:rPr/>
        <w:instrText xml:space="preserve"> TC "5.1</w:instrText>
        <w:tab/>
        <w:instrText xml:space="preserve">Delivery Points" \l 2 </w:instrText>
      </w:r>
      <w:r>
        <w:rPr/>
        <w:fldChar w:fldCharType="separate"/>
      </w:r>
      <w:r>
        <w:rPr/>
      </w:r>
      <w:r>
        <w:rPr/>
        <w:fldChar w:fldCharType="end"/>
      </w:r>
      <w:r>
        <w:rPr>
          <w:sz w:val="22"/>
        </w:rPr>
        <w:t>.  Seller shall specify the Delivery Point(s) and the quantity of Gas at which Buyer shall receive Gas purchased under this Agreement in accordance with Section 2.7; provided, however, that on each Day during the Term, all quantities of Gas specified in Section 2.1 up to the maximum daily capacity under the Gas Transportation Contracts with Northern Border Pipeline Company (“Northern Border Quantity”) shall be transported on Northern Border Pipeline Company and delivered to Buyer at the Northern Border Delivery Point(s).</w:t>
      </w:r>
    </w:p>
    <w:p>
      <w:pPr>
        <w:pStyle w:val="Normal"/>
        <w:spacing w:lineRule="auto" w:line="360"/>
        <w:rPr/>
      </w:pPr>
      <w:r>
        <w:rPr>
          <w:sz w:val="22"/>
        </w:rPr>
        <w:t>5.2</w:t>
        <w:tab/>
      </w:r>
      <w:r>
        <w:rPr>
          <w:sz w:val="22"/>
          <w:u w:val="single"/>
        </w:rPr>
        <w:t>Restrictions on Delivery Point(s)</w:t>
      </w:r>
      <w:r>
        <w:fldChar w:fldCharType="begin"/>
      </w:r>
      <w:r>
        <w:rPr/>
        <w:instrText xml:space="preserve"> TC "5.2</w:instrText>
        <w:tab/>
        <w:instrText xml:space="preserve">Restrictions on Delivery Points" \l 2 </w:instrText>
      </w:r>
      <w:r>
        <w:rPr/>
        <w:fldChar w:fldCharType="separate"/>
      </w:r>
      <w:r>
        <w:rPr/>
      </w:r>
      <w:r>
        <w:rPr/>
        <w:fldChar w:fldCharType="end"/>
      </w:r>
      <w:r>
        <w:rPr>
          <w:sz w:val="22"/>
        </w:rPr>
        <w:t xml:space="preserve">.  Either Party shall notify the other Party on a timely basis of any operational restrictions applicable to specific Delivery Point(s) of which a Party becomes aware.  The Parties shall Schedule deliveries of Gas in a manner that assures compliance with any applicable restrictions at such Delivery Point(s).  </w:t>
      </w:r>
    </w:p>
    <w:p>
      <w:pPr>
        <w:pStyle w:val="Normal"/>
        <w:spacing w:lineRule="auto" w:line="360"/>
        <w:rPr/>
      </w:pPr>
      <w:r>
        <w:rPr>
          <w:sz w:val="22"/>
        </w:rPr>
        <w:t>5.3</w:t>
        <w:tab/>
      </w:r>
      <w:r>
        <w:rPr>
          <w:sz w:val="22"/>
          <w:u w:val="single"/>
        </w:rPr>
        <w:t>Alternative Delivery Point(s)</w:t>
      </w:r>
      <w:r>
        <w:rPr>
          <w:sz w:val="22"/>
        </w:rPr>
        <w:t>.  (a) If Buyer requests the use of a Delivery Point(s) available under the Released Capacity other than the Northern Border Delivery Point(s) for a quantity in excess of the Northern Border Quantity, then Seller shall grant such request and Buyer shall reimburse Seller for any additional costs incurred by Seller to use such alternative Delivery Point(s).  Such reimbursement shall be based on the difference, if any, between the citygate delivered price resulting from use of the alternative Delivery Point(s) and the Daily Price.  (b) If Buyer requests (i) the use of a Delivery Point(s) available under the Released Capacity for all or part of the Northern Border Quantity, or (ii) the use of a Delivery Point not available under the Released Capacity for all or part of the Northern Border Quantity, then Seller may grant such request and, if it does so, then Buyer shall reimburse Seller for any additional costs incurred by Seller to use such alternative Delivery Point(s).  Such reimbursement shall be based on the difference, if any, between the citygate delivered price resulting from use of the alternative Delivery Point(s) and the comparable delivered price that would have resulted if the quantity had been delivered at the Northern Border Delivery Point(s).  (c) If Buyer requests the use of a Delivery Point not available under the Released Capacity for a quantity in excess of the Northern Border Quantity, then Seller may grant such request and, if it does so, Buyer shall reimburse Seller for any additional costs incurred by Seller to use such alternative Delivery Point(s).  Such reimbursement shall be based on the difference, if any, between the citygate delivered price resulting from use of the alternative Delivery Point(s) and the Daily Price.  (d)  If Seller requests the use of a Delivery Point(s) not available under the Released Capacity for any quantity, then Buyer may grant such request and Seller shall bear the full additional costs, if any, associated with the use of such alternative Delivery Point(s).</w:t>
      </w:r>
    </w:p>
    <w:p>
      <w:pPr>
        <w:pStyle w:val="BodyText2"/>
        <w:spacing w:lineRule="auto" w:line="360"/>
        <w:rPr/>
      </w:pPr>
      <w:r>
        <w:rPr/>
        <w:t>E.</w:t>
        <w:tab/>
        <w:t>To delete from Schedule 6.1 the word “Aruba” wherever it appears in the Schedule and to insert in its place the word “Buyer.”</w:t>
      </w:r>
    </w:p>
    <w:p>
      <w:pPr>
        <w:pStyle w:val="BodyText2"/>
        <w:spacing w:lineRule="auto" w:line="360"/>
        <w:rPr/>
      </w:pPr>
      <w:r>
        <w:rPr/>
        <w:t>F.</w:t>
        <w:tab/>
        <w:t>This Amendment No. 1 shall be effective as of ______________ , 2000.</w:t>
      </w:r>
    </w:p>
    <w:p>
      <w:pPr>
        <w:pStyle w:val="BodyText2"/>
        <w:rPr/>
      </w:pPr>
      <w:r>
        <w:rPr/>
      </w:r>
    </w:p>
    <w:p>
      <w:pPr>
        <w:pStyle w:val="BodyText"/>
        <w:tabs>
          <w:tab w:val="clear" w:pos="720"/>
          <w:tab w:val="left" w:pos="1432" w:leader="none"/>
          <w:tab w:val="left" w:pos="1800" w:leader="none"/>
          <w:tab w:val="left" w:pos="2250" w:leader="none"/>
        </w:tabs>
        <w:jc w:val="start"/>
        <w:rPr>
          <w:b w:val="false"/>
        </w:rPr>
      </w:pPr>
      <w:r>
        <w:rPr>
          <w:b w:val="false"/>
        </w:rPr>
        <w:t>Except as herein amended, the Agreement remains in full force and effect.</w:t>
      </w:r>
    </w:p>
    <w:p>
      <w:pPr>
        <w:pStyle w:val="BodyText"/>
        <w:tabs>
          <w:tab w:val="clear" w:pos="720"/>
          <w:tab w:val="left" w:pos="1432" w:leader="none"/>
          <w:tab w:val="left" w:pos="1800" w:leader="none"/>
          <w:tab w:val="left" w:pos="2250" w:leader="none"/>
        </w:tabs>
        <w:jc w:val="start"/>
        <w:rPr>
          <w:b w:val="false"/>
        </w:rPr>
      </w:pPr>
      <w:r>
        <w:rPr>
          <w:b w:val="false"/>
        </w:rPr>
      </w:r>
      <w:r>
        <w:br w:type="page"/>
      </w:r>
    </w:p>
    <w:p>
      <w:pPr>
        <w:pStyle w:val="BodyText"/>
        <w:tabs>
          <w:tab w:val="clear" w:pos="720"/>
          <w:tab w:val="left" w:pos="1432" w:leader="none"/>
          <w:tab w:val="left" w:pos="1800" w:leader="none"/>
          <w:tab w:val="left" w:pos="2250" w:leader="none"/>
        </w:tabs>
        <w:spacing w:lineRule="auto" w:line="360"/>
        <w:ind w:firstLine="720" w:end="0"/>
        <w:jc w:val="start"/>
        <w:rPr>
          <w:b w:val="false"/>
        </w:rPr>
      </w:pPr>
      <w:r>
        <w:rPr>
          <w:b w:val="false"/>
        </w:rPr>
        <w:t>IN WITNESS WHEREOF, each of the parties has caused this Amendment to be executed in duplicate by a duly authorized representative.</w:t>
      </w:r>
    </w:p>
    <w:p>
      <w:pPr>
        <w:pStyle w:val="BodyText"/>
        <w:tabs>
          <w:tab w:val="clear" w:pos="720"/>
          <w:tab w:val="left" w:pos="1432" w:leader="none"/>
          <w:tab w:val="left" w:pos="1800" w:leader="none"/>
          <w:tab w:val="left" w:pos="2250" w:leader="none"/>
        </w:tabs>
        <w:rPr>
          <w:b w:val="false"/>
        </w:rPr>
      </w:pPr>
      <w:r>
        <w:rPr>
          <w:b w:val="false"/>
        </w:rPr>
      </w:r>
    </w:p>
    <w:tbl>
      <w:tblPr>
        <w:tblW w:w="8856" w:type="dxa"/>
        <w:jc w:val="start"/>
        <w:tblInd w:w="0" w:type="dxa"/>
        <w:tblLayout w:type="fixed"/>
        <w:tblCellMar>
          <w:top w:w="0" w:type="dxa"/>
          <w:start w:w="108" w:type="dxa"/>
          <w:bottom w:w="0" w:type="dxa"/>
          <w:end w:w="108" w:type="dxa"/>
        </w:tblCellMar>
      </w:tblPr>
      <w:tblGrid>
        <w:gridCol w:w="1008"/>
        <w:gridCol w:w="3420"/>
        <w:gridCol w:w="630"/>
        <w:gridCol w:w="3798"/>
      </w:tblGrid>
      <w:tr>
        <w:trPr/>
        <w:tc>
          <w:tcPr>
            <w:tcW w:w="1008" w:type="dxa"/>
            <w:tcBorders/>
          </w:tcPr>
          <w:p>
            <w:pPr>
              <w:pStyle w:val="Normal"/>
              <w:snapToGrid w:val="false"/>
              <w:rPr>
                <w:sz w:val="22"/>
              </w:rPr>
            </w:pPr>
            <w:r>
              <w:rPr>
                <w:sz w:val="22"/>
              </w:rPr>
            </w:r>
          </w:p>
        </w:tc>
        <w:tc>
          <w:tcPr>
            <w:tcW w:w="3420" w:type="dxa"/>
            <w:tcBorders/>
          </w:tcPr>
          <w:p>
            <w:pPr>
              <w:pStyle w:val="Normal"/>
              <w:jc w:val="center"/>
              <w:rPr>
                <w:sz w:val="22"/>
              </w:rPr>
            </w:pPr>
            <w:r>
              <w:rPr>
                <w:sz w:val="22"/>
              </w:rPr>
              <w:t>Enron North America Corp.</w:t>
            </w:r>
          </w:p>
        </w:tc>
        <w:tc>
          <w:tcPr>
            <w:tcW w:w="630" w:type="dxa"/>
            <w:tcBorders/>
          </w:tcPr>
          <w:p>
            <w:pPr>
              <w:pStyle w:val="Normal"/>
              <w:snapToGrid w:val="false"/>
              <w:rPr>
                <w:sz w:val="22"/>
              </w:rPr>
            </w:pPr>
            <w:r>
              <w:rPr>
                <w:sz w:val="22"/>
              </w:rPr>
            </w:r>
          </w:p>
        </w:tc>
        <w:tc>
          <w:tcPr>
            <w:tcW w:w="3798" w:type="dxa"/>
            <w:tcBorders/>
          </w:tcPr>
          <w:p>
            <w:pPr>
              <w:pStyle w:val="Header"/>
              <w:tabs>
                <w:tab w:val="clear" w:pos="4320"/>
                <w:tab w:val="clear" w:pos="8640"/>
              </w:tabs>
              <w:jc w:val="center"/>
              <w:rPr>
                <w:sz w:val="22"/>
              </w:rPr>
            </w:pPr>
            <w:r>
              <w:rPr>
                <w:sz w:val="22"/>
              </w:rPr>
              <w:t>The Peoples Gas Light</w:t>
            </w:r>
          </w:p>
          <w:p>
            <w:pPr>
              <w:pStyle w:val="Header"/>
              <w:tabs>
                <w:tab w:val="clear" w:pos="4320"/>
                <w:tab w:val="clear" w:pos="8640"/>
              </w:tabs>
              <w:jc w:val="center"/>
              <w:rPr>
                <w:sz w:val="22"/>
              </w:rPr>
            </w:pPr>
            <w:r>
              <w:rPr>
                <w:sz w:val="22"/>
              </w:rPr>
              <w:t>and Coke Company</w:t>
            </w:r>
          </w:p>
        </w:tc>
      </w:tr>
      <w:tr>
        <w:trPr/>
        <w:tc>
          <w:tcPr>
            <w:tcW w:w="1008"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t>By:</w:t>
            </w:r>
          </w:p>
        </w:tc>
        <w:tc>
          <w:tcPr>
            <w:tcW w:w="3420"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t>_______________________</w:t>
            </w:r>
          </w:p>
        </w:tc>
        <w:tc>
          <w:tcPr>
            <w:tcW w:w="630"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t>By:</w:t>
            </w:r>
          </w:p>
        </w:tc>
        <w:tc>
          <w:tcPr>
            <w:tcW w:w="3798" w:type="dxa"/>
            <w:tcBorders/>
          </w:tcPr>
          <w:p>
            <w:pPr>
              <w:pStyle w:val="Header"/>
              <w:tabs>
                <w:tab w:val="clear" w:pos="4320"/>
                <w:tab w:val="clear" w:pos="8640"/>
              </w:tabs>
              <w:snapToGrid w:val="false"/>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__________________________</w:t>
            </w:r>
          </w:p>
        </w:tc>
      </w:tr>
      <w:tr>
        <w:trPr/>
        <w:tc>
          <w:tcPr>
            <w:tcW w:w="1008" w:type="dxa"/>
            <w:tcBorders/>
          </w:tcPr>
          <w:p>
            <w:pPr>
              <w:pStyle w:val="Normal"/>
              <w:snapToGrid w:val="false"/>
              <w:rPr>
                <w:sz w:val="22"/>
              </w:rPr>
            </w:pPr>
            <w:r>
              <w:rPr>
                <w:sz w:val="22"/>
              </w:rPr>
            </w:r>
          </w:p>
          <w:p>
            <w:pPr>
              <w:pStyle w:val="Normal"/>
              <w:rPr>
                <w:sz w:val="22"/>
              </w:rPr>
            </w:pPr>
            <w:r>
              <w:rPr>
                <w:sz w:val="22"/>
              </w:rPr>
              <w:t>Name:</w:t>
            </w:r>
          </w:p>
        </w:tc>
        <w:tc>
          <w:tcPr>
            <w:tcW w:w="3420" w:type="dxa"/>
            <w:tcBorders/>
          </w:tcPr>
          <w:p>
            <w:pPr>
              <w:pStyle w:val="Normal"/>
              <w:snapToGrid w:val="false"/>
              <w:rPr>
                <w:sz w:val="22"/>
              </w:rPr>
            </w:pPr>
            <w:r>
              <w:rPr>
                <w:sz w:val="22"/>
              </w:rPr>
            </w:r>
          </w:p>
          <w:p>
            <w:pPr>
              <w:pStyle w:val="Normal"/>
              <w:rPr>
                <w:sz w:val="22"/>
              </w:rPr>
            </w:pPr>
            <w:r>
              <w:rPr>
                <w:sz w:val="22"/>
              </w:rPr>
              <w:t>________________________</w:t>
            </w:r>
          </w:p>
        </w:tc>
        <w:tc>
          <w:tcPr>
            <w:tcW w:w="630" w:type="dxa"/>
            <w:tcBorders/>
          </w:tcPr>
          <w:p>
            <w:pPr>
              <w:pStyle w:val="Normal"/>
              <w:snapToGrid w:val="false"/>
              <w:rPr>
                <w:sz w:val="22"/>
              </w:rPr>
            </w:pPr>
            <w:r>
              <w:rPr>
                <w:sz w:val="22"/>
              </w:rPr>
            </w:r>
          </w:p>
        </w:tc>
        <w:tc>
          <w:tcPr>
            <w:tcW w:w="3798" w:type="dxa"/>
            <w:vMerge w:val="restart"/>
            <w:tcBorders/>
          </w:tcPr>
          <w:p>
            <w:pPr>
              <w:pStyle w:val="Normal"/>
              <w:jc w:val="center"/>
              <w:rPr>
                <w:sz w:val="22"/>
              </w:rPr>
            </w:pPr>
            <w:r>
              <w:rPr>
                <w:sz w:val="22"/>
              </w:rPr>
              <w:t>William E. Morrow</w:t>
            </w:r>
          </w:p>
          <w:p>
            <w:pPr>
              <w:pStyle w:val="Normal"/>
              <w:jc w:val="center"/>
              <w:rPr>
                <w:sz w:val="22"/>
              </w:rPr>
            </w:pPr>
            <w:r>
              <w:rPr>
                <w:sz w:val="22"/>
              </w:rPr>
              <w:t>Executive Vice President</w:t>
            </w:r>
          </w:p>
        </w:tc>
      </w:tr>
      <w:tr>
        <w:trPr/>
        <w:tc>
          <w:tcPr>
            <w:tcW w:w="1008" w:type="dxa"/>
            <w:tcBorders/>
          </w:tcPr>
          <w:p>
            <w:pPr>
              <w:pStyle w:val="Normal"/>
              <w:snapToGrid w:val="false"/>
              <w:rPr>
                <w:sz w:val="22"/>
              </w:rPr>
            </w:pPr>
            <w:r>
              <w:rPr>
                <w:sz w:val="22"/>
              </w:rPr>
            </w:r>
          </w:p>
          <w:p>
            <w:pPr>
              <w:pStyle w:val="Normal"/>
              <w:rPr>
                <w:sz w:val="22"/>
              </w:rPr>
            </w:pPr>
            <w:r>
              <w:rPr>
                <w:sz w:val="22"/>
              </w:rPr>
              <w:t>Title:</w:t>
            </w:r>
          </w:p>
        </w:tc>
        <w:tc>
          <w:tcPr>
            <w:tcW w:w="3420" w:type="dxa"/>
            <w:tcBorders/>
          </w:tcPr>
          <w:p>
            <w:pPr>
              <w:pStyle w:val="Normal"/>
              <w:snapToGrid w:val="false"/>
              <w:rPr>
                <w:sz w:val="22"/>
              </w:rPr>
            </w:pPr>
            <w:r>
              <w:rPr>
                <w:sz w:val="22"/>
              </w:rPr>
            </w:r>
          </w:p>
          <w:p>
            <w:pPr>
              <w:pStyle w:val="Normal"/>
              <w:rPr>
                <w:sz w:val="22"/>
              </w:rPr>
            </w:pPr>
            <w:r>
              <w:rPr>
                <w:sz w:val="22"/>
              </w:rPr>
              <w:t>________________________</w:t>
            </w:r>
          </w:p>
        </w:tc>
        <w:tc>
          <w:tcPr>
            <w:tcW w:w="630" w:type="dxa"/>
            <w:tcBorders/>
          </w:tcPr>
          <w:p>
            <w:pPr>
              <w:pStyle w:val="Normal"/>
              <w:snapToGrid w:val="false"/>
              <w:rPr>
                <w:sz w:val="22"/>
              </w:rPr>
            </w:pPr>
            <w:r>
              <w:rPr>
                <w:sz w:val="22"/>
              </w:rPr>
            </w:r>
          </w:p>
        </w:tc>
        <w:tc>
          <w:tcPr>
            <w:tcW w:w="3798" w:type="dxa"/>
            <w:vMerge w:val="continue"/>
            <w:tcBorders/>
          </w:tcPr>
          <w:p>
            <w:pPr>
              <w:pStyle w:val="Normal"/>
              <w:snapToGrid w:val="false"/>
              <w:jc w:val="center"/>
              <w:rPr>
                <w:sz w:val="22"/>
              </w:rPr>
            </w:pPr>
            <w:r>
              <w:rPr>
                <w:sz w:val="22"/>
              </w:rPr>
            </w:r>
          </w:p>
        </w:tc>
      </w:tr>
    </w:tbl>
    <w:p>
      <w:pPr>
        <w:pStyle w:val="BodyText2"/>
        <w:rPr/>
      </w:pPr>
      <w:r>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2"/>
      </w:rPr>
    </w:pPr>
    <w:r>
      <w:rPr>
        <w:b/>
        <w:sz w:val="22"/>
      </w:rPr>
      <w:t>CONFIDENTIAL/DRAFT (11/27/00)</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5090"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4"/>
      <w:szCs w:val="20"/>
      <w:lang w:val="en-US" w:bidi="ar-SA" w:eastAsia="zh-CN"/>
    </w:rPr>
  </w:style>
  <w:style w:type="character" w:styleId="WW8Num1z0">
    <w:name w:val="WW8Num1z0"/>
    <w:qFormat/>
    <w:rPr>
      <w:rFonts w:ascii="Arial" w:hAnsi="Arial" w:cs="Arial"/>
      <w:b w:val="false"/>
      <w:i w:val="false"/>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color w:val="auto"/>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2000-11-22T21:22:00Z</dcterms:created>
  <dc:creator>KLYAS</dc:creator>
  <dc:description/>
  <dc:language>en-CA</dc:language>
  <cp:lastModifiedBy>KLYAS</cp:lastModifiedBy>
  <cp:lastPrinted>2000-11-03T12:02:00Z</cp:lastPrinted>
  <dcterms:modified xsi:type="dcterms:W3CDTF">2000-11-27T16:03:00Z</dcterms:modified>
  <cp:revision>10</cp:revision>
  <dc:subject/>
  <dc:title>AMENDMENT NO</dc:title>
</cp:coreProperties>
</file>