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Amarillo Region Weekly Report</w:t>
      </w:r>
    </w:p>
    <w:p>
      <w:pPr>
        <w:pStyle w:val="Normal"/>
        <w:spacing w:lineRule="atLeast" w:line="240"/>
        <w:ind w:start="32" w:end="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t>December 27, 2001</w:t>
      </w:r>
    </w:p>
    <w:p>
      <w:pPr>
        <w:pStyle w:val="Normal"/>
        <w:spacing w:lineRule="atLeast" w:line="240"/>
        <w:ind w:start="32" w:end="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r>
    </w:p>
    <w:p>
      <w:pPr>
        <w:pStyle w:val="Normal"/>
        <w:spacing w:lineRule="atLeast" w:line="240"/>
        <w:ind w:start="32" w:end="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r>
    </w:p>
    <w:p>
      <w:pPr>
        <w:pStyle w:val="Normal"/>
        <w:spacing w:lineRule="atLeast" w:line="240"/>
        <w:ind w:start="32" w:end="0"/>
        <w:rPr>
          <w:rFonts w:ascii="Tms Rmn;Times New Roman" w:hAnsi="Tms Rmn;Times New Roman" w:cs="Tms Rmn;Times New Roman"/>
          <w:b/>
          <w:color w:val="000000"/>
          <w:sz w:val="24"/>
        </w:rPr>
      </w:pPr>
      <w:r>
        <w:rPr>
          <w:rFonts w:cs="Tms Rmn;Times New Roman" w:ascii="Tms Rmn;Times New Roman" w:hAnsi="Tms Rmn;Times New Roman"/>
          <w:b/>
          <w:color w:val="000000"/>
          <w:sz w:val="24"/>
        </w:rPr>
        <w:t>Safety</w:t>
      </w:r>
    </w:p>
    <w:p>
      <w:pPr>
        <w:pStyle w:val="Normal"/>
        <w:spacing w:lineRule="atLeast" w:line="240"/>
        <w:ind w:start="32" w:end="0"/>
        <w:rPr>
          <w:rFonts w:ascii="Tms Rmn;Times New Roman" w:hAnsi="Tms Rmn;Times New Roman" w:cs="Tms Rmn;Times New Roman"/>
          <w:b/>
          <w:color w:val="000000"/>
          <w:sz w:val="24"/>
        </w:rPr>
      </w:pPr>
      <w:r>
        <w:rPr>
          <w:rFonts w:cs="Tms Rmn;Times New Roman" w:ascii="Tms Rmn;Times New Roman" w:hAnsi="Tms Rmn;Times New Roman"/>
          <w:b/>
          <w:color w:val="000000"/>
          <w:sz w:val="24"/>
        </w:rPr>
      </w:r>
    </w:p>
    <w:tbl>
      <w:tblPr>
        <w:tblW w:w="8618" w:type="dxa"/>
        <w:jc w:val="start"/>
        <w:tblInd w:w="108" w:type="dxa"/>
        <w:tblLayout w:type="fixed"/>
        <w:tblCellMar>
          <w:top w:w="0" w:type="dxa"/>
          <w:start w:w="108" w:type="dxa"/>
          <w:bottom w:w="0" w:type="dxa"/>
          <w:end w:w="108" w:type="dxa"/>
        </w:tblCellMar>
      </w:tblPr>
      <w:tblGrid>
        <w:gridCol w:w="3920"/>
        <w:gridCol w:w="1944"/>
        <w:gridCol w:w="432"/>
        <w:gridCol w:w="2322"/>
      </w:tblGrid>
      <w:tr>
        <w:trPr/>
        <w:tc>
          <w:tcPr>
            <w:tcW w:w="3920" w:type="dxa"/>
            <w:tcBorders/>
          </w:tcPr>
          <w:p>
            <w:pPr>
              <w:pStyle w:val="Normal"/>
              <w:spacing w:lineRule="atLeast" w:line="240"/>
              <w:ind w:start="40" w:end="40"/>
              <w:rPr/>
            </w:pPr>
            <w:r>
              <w:rPr>
                <w:rFonts w:cs="Tms Rmn;Times New Roman" w:ascii="Tms Rmn;Times New Roman" w:hAnsi="Tms Rmn;Times New Roman"/>
                <w:color w:val="000000"/>
                <w:sz w:val="22"/>
              </w:rPr>
              <w:tab/>
            </w:r>
            <w:r>
              <w:rPr>
                <w:rFonts w:cs="Tms Rmn;Times New Roman" w:ascii="Tms Rmn;Times New Roman" w:hAnsi="Tms Rmn;Times New Roman"/>
                <w:b/>
                <w:color w:val="000000"/>
                <w:sz w:val="22"/>
              </w:rPr>
              <w:tab/>
              <w:tab/>
              <w:tab/>
              <w:tab/>
              <w:tab/>
            </w:r>
          </w:p>
        </w:tc>
        <w:tc>
          <w:tcPr>
            <w:tcW w:w="1944" w:type="dxa"/>
            <w:tcBorders/>
          </w:tcPr>
          <w:p>
            <w:pPr>
              <w:pStyle w:val="Normal"/>
              <w:spacing w:lineRule="atLeast" w:line="240"/>
              <w:ind w:start="40" w:end="4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t xml:space="preserve">This Week </w:t>
            </w:r>
          </w:p>
        </w:tc>
        <w:tc>
          <w:tcPr>
            <w:tcW w:w="432" w:type="dxa"/>
            <w:tcBorders/>
          </w:tcPr>
          <w:p>
            <w:pPr>
              <w:pStyle w:val="Normal"/>
              <w:snapToGrid w:val="false"/>
              <w:spacing w:lineRule="atLeast" w:line="240"/>
              <w:ind w:start="40" w:end="40"/>
              <w:rPr>
                <w:rFonts w:ascii="Tms Rmn;Times New Roman" w:hAnsi="Tms Rmn;Times New Roman" w:cs="Tms Rmn;Times New Roman"/>
                <w:b/>
                <w:color w:val="000000"/>
                <w:sz w:val="22"/>
              </w:rPr>
            </w:pPr>
            <w:r>
              <w:rPr>
                <w:rFonts w:cs="Tms Rmn;Times New Roman" w:ascii="Tms Rmn;Times New Roman" w:hAnsi="Tms Rmn;Times New Roman"/>
                <w:b/>
                <w:color w:val="000000"/>
                <w:sz w:val="22"/>
              </w:rPr>
            </w:r>
          </w:p>
        </w:tc>
        <w:tc>
          <w:tcPr>
            <w:tcW w:w="2322" w:type="dxa"/>
            <w:tcBorders/>
          </w:tcPr>
          <w:p>
            <w:pPr>
              <w:pStyle w:val="Normal"/>
              <w:spacing w:lineRule="atLeast" w:line="240"/>
              <w:ind w:start="40" w:end="4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t xml:space="preserve">Year to Date </w:t>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Lost Time Injuries*</w:t>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r>
      <w:tr>
        <w:trPr/>
        <w:tc>
          <w:tcPr>
            <w:tcW w:w="3920"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1944"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OSHA Recordable Injuries</w:t>
              <w:tab/>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1</w:t>
            </w:r>
          </w:p>
        </w:tc>
      </w:tr>
      <w:tr>
        <w:trPr/>
        <w:tc>
          <w:tcPr>
            <w:tcW w:w="3920"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1944"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Vehicle Accident</w:t>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4</w:t>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Animal Hits (not SGA Reportable)</w:t>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3</w:t>
            </w:r>
          </w:p>
        </w:tc>
      </w:tr>
      <w:tr>
        <w:trPr/>
        <w:tc>
          <w:tcPr>
            <w:tcW w:w="3920"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1944"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bl>
    <w:p>
      <w:pPr>
        <w:pStyle w:val="Subtitle"/>
        <w:rPr>
          <w:i w:val="false"/>
          <w:i w:val="false"/>
          <w:sz w:val="24"/>
        </w:rPr>
      </w:pPr>
      <w:r>
        <w:rPr>
          <w:i w:val="false"/>
          <w:sz w:val="24"/>
        </w:rPr>
      </w:r>
    </w:p>
    <w:p>
      <w:pPr>
        <w:pStyle w:val="Subtitle"/>
        <w:rPr>
          <w:i w:val="false"/>
          <w:i w:val="false"/>
          <w:sz w:val="24"/>
        </w:rPr>
      </w:pPr>
      <w:r>
        <w:rPr>
          <w:i w:val="false"/>
          <w:sz w:val="24"/>
        </w:rPr>
      </w:r>
    </w:p>
    <w:p>
      <w:pPr>
        <w:pStyle w:val="Subtitle"/>
        <w:rPr>
          <w:i w:val="false"/>
          <w:i w:val="false"/>
          <w:sz w:val="24"/>
        </w:rPr>
      </w:pPr>
      <w:r>
        <w:rPr>
          <w:i w:val="false"/>
          <w:sz w:val="24"/>
        </w:rPr>
        <w:t>Compression</w:t>
      </w:r>
    </w:p>
    <w:p>
      <w:pPr>
        <w:pStyle w:val="Normal"/>
        <w:numPr>
          <w:ilvl w:val="0"/>
          <w:numId w:val="2"/>
        </w:numPr>
        <w:rPr/>
      </w:pPr>
      <w:r>
        <w:rPr/>
        <w:t>Beaver Plant – Contractors are finishing up the project to run new electrical service to the dehy area.  Communication problems that came up last weekend have been resolved.  Data is now going to Houston.</w:t>
      </w:r>
    </w:p>
    <w:p>
      <w:pPr>
        <w:pStyle w:val="Normal"/>
        <w:numPr>
          <w:ilvl w:val="0"/>
          <w:numId w:val="2"/>
        </w:numPr>
        <w:rPr/>
      </w:pPr>
      <w:r>
        <w:rPr/>
        <w:t>Perryton – The Beaver Machine Shop is building a new lubricator shaft for #2 at Barlow.  The unit should be back available by Friday.</w:t>
      </w:r>
    </w:p>
    <w:p>
      <w:pPr>
        <w:pStyle w:val="Normal"/>
        <w:numPr>
          <w:ilvl w:val="0"/>
          <w:numId w:val="2"/>
        </w:numPr>
        <w:rPr/>
      </w:pPr>
      <w:r>
        <w:rPr/>
        <w:t>Sunray Plant - #4 is down with rings out on an inboard cylinder.  #5 is down with a cracked head.  Two other units are available.  Repairs are being evaluated.  No volume is affected.</w:t>
      </w:r>
    </w:p>
    <w:p>
      <w:pPr>
        <w:pStyle w:val="Normal"/>
        <w:numPr>
          <w:ilvl w:val="0"/>
          <w:numId w:val="2"/>
        </w:numPr>
        <w:rPr/>
      </w:pPr>
      <w:r>
        <w:rPr/>
        <w:t>Spearman - #5 unit is down while an electric motor is being replaced.  Hutch 1 is still down and the gas is coming into the suction side of the Spearman Plant.  Volume is off less than .5 mmcf.  The station will stay down through the weekend and we will continue discussions with DEFS field operators.</w:t>
      </w:r>
    </w:p>
    <w:p>
      <w:pPr>
        <w:pStyle w:val="Normal"/>
        <w:rPr/>
      </w:pPr>
      <w:r>
        <w:rPr/>
      </w:r>
    </w:p>
    <w:p>
      <w:pPr>
        <w:pStyle w:val="Heading1"/>
        <w:ind w:hanging="0" w:start="0"/>
        <w:rPr/>
      </w:pPr>
      <w:r>
        <w:rPr/>
        <w:t>Pipeline</w:t>
      </w:r>
    </w:p>
    <w:p>
      <w:pPr>
        <w:pStyle w:val="Normal"/>
        <w:numPr>
          <w:ilvl w:val="0"/>
          <w:numId w:val="3"/>
        </w:numPr>
        <w:rPr/>
      </w:pPr>
      <w:r>
        <w:rPr/>
        <w:t xml:space="preserve">Duncan – the repair and replacement of some 4” line at Sherman has been completed.  The region worked with Ronny Davenport and the Integrity Assurance Plan to identify the scope of work.  </w:t>
      </w:r>
    </w:p>
    <w:p>
      <w:pPr>
        <w:pStyle w:val="Normal"/>
        <w:numPr>
          <w:ilvl w:val="0"/>
          <w:numId w:val="3"/>
        </w:numPr>
        <w:rPr/>
      </w:pPr>
      <w:r>
        <w:rPr/>
        <w:t>Beaver Pipeline – there was a freeze on the Lips-Mocane line for a short time.  A pig has been run and methanol is being injected.  No further problems have been encountered.</w:t>
      </w:r>
    </w:p>
    <w:p>
      <w:pPr>
        <w:pStyle w:val="Normal"/>
        <w:numPr>
          <w:ilvl w:val="0"/>
          <w:numId w:val="3"/>
        </w:numPr>
        <w:rPr>
          <w:sz w:val="24"/>
        </w:rPr>
      </w:pPr>
      <w:r>
        <w:rPr/>
        <w:t>Elk City and Oklahoma City – The smart pig is being run today on the Elk City 10”.  Results to follow.</w:t>
      </w:r>
    </w:p>
    <w:p>
      <w:pPr>
        <w:pStyle w:val="Heading4"/>
        <w:ind w:hanging="0" w:start="0"/>
        <w:rPr>
          <w:sz w:val="24"/>
        </w:rPr>
      </w:pPr>
      <w:r>
        <w:rPr>
          <w:sz w:val="24"/>
        </w:rPr>
      </w:r>
    </w:p>
    <w:p>
      <w:pPr>
        <w:pStyle w:val="Heading4"/>
        <w:ind w:hanging="0" w:start="0"/>
        <w:rPr>
          <w:sz w:val="24"/>
        </w:rPr>
      </w:pPr>
      <w:r>
        <w:rPr>
          <w:sz w:val="24"/>
        </w:rPr>
        <w:t>Other</w:t>
      </w:r>
    </w:p>
    <w:p>
      <w:pPr>
        <w:pStyle w:val="Normal"/>
        <w:rPr>
          <w:sz w:val="24"/>
        </w:rPr>
      </w:pPr>
      <w:r>
        <w:rPr>
          <w:sz w:val="24"/>
        </w:rPr>
      </w:r>
    </w:p>
    <w:p>
      <w:pPr>
        <w:pStyle w:val="Normal"/>
        <w:numPr>
          <w:ilvl w:val="0"/>
          <w:numId w:val="4"/>
        </w:numPr>
        <w:rPr/>
      </w:pPr>
      <w:r>
        <w:rPr/>
        <w:t>Beginning next week, the new conference call number is:  877-79-3687    Code 924554</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outlineLvl w:val="4"/>
    </w:pPr>
    <w:rPr>
      <w:b/>
      <w:color w:val="FF0000"/>
      <w:sz w:val="24"/>
    </w:rPr>
  </w:style>
  <w:style w:type="paragraph" w:styleId="Heading6">
    <w:name w:val="heading 6"/>
    <w:basedOn w:val="Normal"/>
    <w:next w:val="Normal"/>
    <w:qFormat/>
    <w:pPr>
      <w:keepNext w:val="true"/>
      <w:numPr>
        <w:ilvl w:val="5"/>
        <w:numId w:val="1"/>
      </w:numPr>
      <w:jc w:val="center"/>
      <w:outlineLvl w:val="5"/>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0"/>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tLeast" w:line="240"/>
      <w:ind w:hanging="0" w:start="32" w:end="0"/>
      <w:jc w:val="center"/>
    </w:pPr>
    <w:rPr>
      <w:rFonts w:ascii="Tms Rmn;Times New Roman" w:hAnsi="Tms Rmn;Times New Roman" w:cs="Tms Rmn;Times New Roman"/>
      <w:b/>
      <w:color w:val="000000"/>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i/>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2001-12-27T13:04:00Z</dcterms:created>
  <dc:creator>Northern Natural Gas</dc:creator>
  <dc:description/>
  <dc:language>en-CA</dc:language>
  <cp:lastModifiedBy>rlebeau</cp:lastModifiedBy>
  <cp:lastPrinted>2001-07-19T07:31:00Z</cp:lastPrinted>
  <dcterms:modified xsi:type="dcterms:W3CDTF">2001-12-27T13:04:00Z</dcterms:modified>
  <cp:revision>2</cp:revision>
  <dc:subject/>
  <dc:title>Amarillo Weekly Conference Call – 877-795-3687    817464</dc:title>
</cp:coreProperties>
</file>