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start="32" w:end="0"/>
        <w:rPr>
          <w:rFonts w:ascii="Tms Rmn;Times New Roman" w:hAnsi="Tms Rmn;Times New Roman" w:cs="Tms Rmn;Times New Roman"/>
          <w:b/>
          <w:color w:val="000000"/>
          <w:sz w:val="24"/>
        </w:rPr>
      </w:pPr>
      <w:r>
        <w:rPr>
          <w:rFonts w:cs="Tms Rmn;Times New Roman" w:ascii="Tms Rmn;Times New Roman" w:hAnsi="Tms Rmn;Times New Roman"/>
          <w:b/>
          <w:color w:val="000000"/>
          <w:sz w:val="24"/>
        </w:rPr>
        <w:t xml:space="preserve">Amarillo Region Weekly Report – 11/21/01                                                          </w:t>
      </w:r>
    </w:p>
    <w:tbl>
      <w:tblPr>
        <w:tblW w:w="861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20"/>
        <w:gridCol w:w="1944"/>
        <w:gridCol w:w="432"/>
        <w:gridCol w:w="2322"/>
      </w:tblGrid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b/>
                <w:color w:val="000000"/>
                <w:sz w:val="24"/>
              </w:rPr>
            </w:pPr>
            <w:r>
              <w:rPr>
                <w:rFonts w:cs="Tms Rmn;Times New Roman" w:ascii="Tms Rmn;Times New Roman" w:hAnsi="Tms Rmn;Times New Roman"/>
                <w:b/>
                <w:color w:val="000000"/>
                <w:sz w:val="24"/>
              </w:rPr>
              <w:t>Safety</w:t>
              <w:tab/>
              <w:tab/>
              <w:tab/>
              <w:tab/>
              <w:tab/>
              <w:tab/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Tms Rmn;Times New Roman" w:hAnsi="Tms Rmn;Times New Roman" w:cs="Tms Rmn;Times New Roman"/>
                <w:b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b/>
                <w:color w:val="000000"/>
                <w:sz w:val="22"/>
              </w:rPr>
              <w:t xml:space="preserve">This Week 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b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b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Tms Rmn;Times New Roman" w:hAnsi="Tms Rmn;Times New Roman" w:cs="Tms Rmn;Times New Roman"/>
                <w:b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b/>
                <w:color w:val="000000"/>
                <w:sz w:val="22"/>
              </w:rPr>
              <w:t xml:space="preserve">Year to Date 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Lost Time Injuries*</w:t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OSHA Recordable Injuries</w:t>
              <w:tab/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1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Vehicle Accident</w:t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4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Animal Hits (not SGA Reportable)</w:t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2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</w:tr>
    </w:tbl>
    <w:p>
      <w:pPr>
        <w:pStyle w:val="Subtitle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Some of the Amarillo Region employees attended driver training program in Liberal on a simulation trainer.</w:t>
      </w:r>
    </w:p>
    <w:p>
      <w:pPr>
        <w:pStyle w:val="Subtitle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rPr>
          <w:i w:val="false"/>
          <w:i w:val="false"/>
          <w:sz w:val="24"/>
        </w:rPr>
      </w:pPr>
      <w:r>
        <w:rPr>
          <w:i w:val="false"/>
          <w:sz w:val="24"/>
        </w:rPr>
        <w:t>Compression</w:t>
      </w:r>
    </w:p>
    <w:p>
      <w:pPr>
        <w:pStyle w:val="Normal"/>
        <w:numPr>
          <w:ilvl w:val="0"/>
          <w:numId w:val="2"/>
        </w:numPr>
        <w:rPr/>
      </w:pPr>
      <w:r>
        <w:rPr/>
        <w:t>Pampa Pipeline -  P3/Gray County project is well on target.  The 30” hot tap was completed on the 19</w:t>
      </w:r>
      <w:r>
        <w:rPr>
          <w:vertAlign w:val="superscript"/>
        </w:rPr>
        <w:t>th</w:t>
      </w:r>
      <w:r>
        <w:rPr/>
        <w:t xml:space="preserve">.  The pipeline has been hydrostatic tested and the yard piping is in process of being tested.  The shut out is planned for next Thursday. </w:t>
      </w:r>
    </w:p>
    <w:p>
      <w:pPr>
        <w:pStyle w:val="Normal"/>
        <w:numPr>
          <w:ilvl w:val="0"/>
          <w:numId w:val="2"/>
        </w:numPr>
        <w:rPr/>
      </w:pPr>
      <w:r>
        <w:rPr/>
        <w:t>Beaver Plant - #15 cracked 3 heads and projected to be back in service Nov 30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numPr>
          <w:ilvl w:val="0"/>
          <w:numId w:val="2"/>
        </w:numPr>
        <w:rPr/>
      </w:pPr>
      <w:r>
        <w:rPr/>
        <w:t>Ellis 2 – Unit 2 Ellis2 station had a 1500-hour inspection.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Pipeline</w:t>
      </w:r>
    </w:p>
    <w:p>
      <w:pPr>
        <w:pStyle w:val="Normal"/>
        <w:numPr>
          <w:ilvl w:val="0"/>
          <w:numId w:val="3"/>
        </w:numPr>
        <w:rPr/>
      </w:pPr>
      <w:r>
        <w:rPr/>
        <w:t>EPS is making progress on the line walking in Oklahoma and Gragg Pape has a full report he will send out today.</w:t>
      </w:r>
    </w:p>
    <w:p>
      <w:pPr>
        <w:pStyle w:val="Normal"/>
        <w:numPr>
          <w:ilvl w:val="0"/>
          <w:numId w:val="3"/>
        </w:numPr>
        <w:rPr/>
      </w:pPr>
      <w:r>
        <w:rPr/>
        <w:t>Ellis 2 – EPS line leak near Lenora, Ok with 40 bbl estimated.  Clean-up in progress.</w:t>
      </w:r>
    </w:p>
    <w:p>
      <w:pPr>
        <w:pStyle w:val="Normal"/>
        <w:numPr>
          <w:ilvl w:val="0"/>
          <w:numId w:val="3"/>
        </w:numPr>
        <w:rPr/>
      </w:pPr>
      <w:r>
        <w:rPr/>
        <w:t>Beaver Pipeline – Ran a pig on the Lipscomb/Mocane line and received 600 bbl of liquid.</w:t>
      </w:r>
    </w:p>
    <w:p>
      <w:pPr>
        <w:pStyle w:val="Normal"/>
        <w:numPr>
          <w:ilvl w:val="0"/>
          <w:numId w:val="3"/>
        </w:numPr>
        <w:rPr/>
      </w:pPr>
      <w:r>
        <w:rPr/>
        <w:t>Pampa Pipeline – The A line project shutout has been put on hold until 2002 with a deferral of $10,500 spending into next year.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Compliance</w:t>
      </w:r>
    </w:p>
    <w:p>
      <w:pPr>
        <w:pStyle w:val="Normal"/>
        <w:numPr>
          <w:ilvl w:val="0"/>
          <w:numId w:val="4"/>
        </w:numPr>
        <w:rPr/>
      </w:pPr>
      <w:r>
        <w:rPr/>
        <w:t>Sunray Field – Team is conduction remedial spraying at Hutch 2 for on going EPA clean-up.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Other</w:t>
      </w:r>
    </w:p>
    <w:p>
      <w:pPr>
        <w:pStyle w:val="Normal"/>
        <w:rPr/>
      </w:pPr>
      <w:r>
        <w:rPr/>
        <w:t xml:space="preserve">Project Tiger was completed this week and a great big </w:t>
      </w:r>
      <w:r>
        <w:rPr>
          <w:b/>
          <w:sz w:val="24"/>
        </w:rPr>
        <w:t>thank you</w:t>
      </w:r>
      <w:r>
        <w:rPr/>
        <w:t xml:space="preserve"> to all those involved.</w:t>
      </w:r>
    </w:p>
    <w:p>
      <w:pPr>
        <w:pStyle w:val="Normal"/>
        <w:rPr>
          <w:rFonts w:ascii="Univers Condensed" w:hAnsi="Univers Condensed" w:cs="Univers Condensed"/>
          <w:b/>
          <w:color w:val="800000"/>
          <w:sz w:val="32"/>
        </w:rPr>
      </w:pPr>
      <w:r>
        <w:rPr>
          <w:rFonts w:cs="Univers Condensed" w:ascii="Univers Condensed" w:hAnsi="Univers Condensed"/>
          <w:b/>
          <w:color w:val="800000"/>
          <w:sz w:val="32"/>
        </w:rPr>
        <w:t>Happy Thanksgiving from the Amarillo Region!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Univers Condense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  <w:sz w:val="20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  <w:sz w:val="20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  <w:sz w:val="20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  <w:color w:val="auto"/>
      <w:sz w:val="20"/>
    </w:rPr>
  </w:style>
  <w:style w:type="character" w:styleId="WW8Num2z0">
    <w:name w:val="WW8Num2z0"/>
    <w:qFormat/>
    <w:rPr>
      <w:rFonts w:ascii="Wingdings" w:hAnsi="Wingdings" w:cs="Wingdings"/>
      <w:b/>
      <w:i w:val="false"/>
      <w:color w:val="FF0000"/>
      <w:sz w:val="36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auto"/>
      <w:sz w:val="20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auto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color w:val="auto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i/>
      <w:sz w:val="28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2001-11-21T12:19:00Z</dcterms:created>
  <dc:creator>Northern Natural Gas</dc:creator>
  <dc:description/>
  <dc:language>en-CA</dc:language>
  <cp:lastModifiedBy>Northern Natural Gas</cp:lastModifiedBy>
  <cp:lastPrinted>2001-07-19T07:31:00Z</cp:lastPrinted>
  <dcterms:modified xsi:type="dcterms:W3CDTF">2001-11-21T12:19:00Z</dcterms:modified>
  <cp:revision>2</cp:revision>
  <dc:subject/>
  <dc:title>Amarillo Weekly Conference Call – 877-795-3687    817464</dc:title>
</cp:coreProperties>
</file>