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AMARILLO REGION</w:t>
      </w:r>
    </w:p>
    <w:p>
      <w:pPr>
        <w:pStyle w:val="Normal"/>
        <w:spacing w:lineRule="atLeast" w:line="240"/>
        <w:ind w:start="32" w:end="0"/>
        <w:rPr>
          <w:rFonts w:ascii="Tms Rmn;Times New Roman" w:hAnsi="Tms Rmn;Times New Roman" w:cs="Tms Rmn;Times New Roman"/>
          <w:b/>
          <w:color w:val="000000"/>
          <w:sz w:val="24"/>
        </w:rPr>
      </w:pPr>
      <w:r>
        <w:rPr>
          <w:rFonts w:cs="Tms Rmn;Times New Roman" w:ascii="Tms Rmn;Times New Roman" w:hAnsi="Tms Rmn;Times New Roman"/>
          <w:b/>
          <w:color w:val="000000"/>
          <w:sz w:val="24"/>
        </w:rPr>
      </w:r>
    </w:p>
    <w:p>
      <w:pPr>
        <w:pStyle w:val="Normal"/>
        <w:spacing w:lineRule="atLeast" w:line="240"/>
        <w:ind w:start="32" w:end="0"/>
        <w:rPr>
          <w:rFonts w:ascii="Tms Rmn;Times New Roman" w:hAnsi="Tms Rmn;Times New Roman" w:cs="Tms Rmn;Times New Roman"/>
          <w:b/>
          <w:color w:val="000000"/>
          <w:sz w:val="24"/>
        </w:rPr>
      </w:pPr>
      <w:r>
        <w:rPr>
          <w:rFonts w:cs="Tms Rmn;Times New Roman" w:ascii="Tms Rmn;Times New Roman" w:hAnsi="Tms Rmn;Times New Roman"/>
          <w:b/>
          <w:color w:val="000000"/>
          <w:sz w:val="24"/>
        </w:rPr>
        <w:t>Safety</w:t>
      </w:r>
    </w:p>
    <w:p>
      <w:pPr>
        <w:pStyle w:val="Normal"/>
        <w:spacing w:lineRule="atLeast" w:line="240"/>
        <w:ind w:start="32" w:end="0"/>
        <w:rPr>
          <w:rFonts w:ascii="Tms Rmn;Times New Roman" w:hAnsi="Tms Rmn;Times New Roman" w:cs="Tms Rmn;Times New Roman"/>
          <w:b/>
          <w:color w:val="000000"/>
          <w:sz w:val="24"/>
        </w:rPr>
      </w:pPr>
      <w:r>
        <w:rPr>
          <w:rFonts w:cs="Tms Rmn;Times New Roman" w:ascii="Tms Rmn;Times New Roman" w:hAnsi="Tms Rmn;Times New Roman"/>
          <w:b/>
          <w:color w:val="000000"/>
          <w:sz w:val="24"/>
        </w:rPr>
      </w:r>
    </w:p>
    <w:tbl>
      <w:tblPr>
        <w:tblW w:w="861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20"/>
        <w:gridCol w:w="1944"/>
        <w:gridCol w:w="432"/>
        <w:gridCol w:w="2322"/>
      </w:tblGrid>
      <w:tr>
        <w:trPr/>
        <w:tc>
          <w:tcPr>
            <w:tcW w:w="3920" w:type="dxa"/>
            <w:tcBorders/>
          </w:tcPr>
          <w:p>
            <w:pPr>
              <w:pStyle w:val="Normal"/>
              <w:spacing w:lineRule="atLeast" w:line="240"/>
              <w:ind w:start="40" w:end="40"/>
              <w:rPr/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  <w:tab/>
            </w:r>
            <w:r>
              <w:rPr>
                <w:rFonts w:cs="Tms Rmn;Times New Roman" w:ascii="Tms Rmn;Times New Roman" w:hAnsi="Tms Rmn;Times New Roman"/>
                <w:b/>
                <w:color w:val="000000"/>
                <w:sz w:val="22"/>
              </w:rPr>
              <w:tab/>
              <w:tab/>
              <w:tab/>
              <w:tab/>
              <w:tab/>
            </w:r>
          </w:p>
        </w:tc>
        <w:tc>
          <w:tcPr>
            <w:tcW w:w="1944" w:type="dxa"/>
            <w:tcBorders/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Tms Rmn;Times New Roman" w:hAnsi="Tms Rmn;Times New Roman" w:cs="Tms Rmn;Times New Roman"/>
                <w:b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b/>
                <w:color w:val="000000"/>
                <w:sz w:val="22"/>
              </w:rPr>
              <w:t xml:space="preserve">This Week </w:t>
            </w:r>
          </w:p>
        </w:tc>
        <w:tc>
          <w:tcPr>
            <w:tcW w:w="432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b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b/>
                <w:color w:val="000000"/>
                <w:sz w:val="22"/>
              </w:rPr>
            </w:r>
          </w:p>
        </w:tc>
        <w:tc>
          <w:tcPr>
            <w:tcW w:w="2322" w:type="dxa"/>
            <w:tcBorders/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Tms Rmn;Times New Roman" w:hAnsi="Tms Rmn;Times New Roman" w:cs="Tms Rmn;Times New Roman"/>
                <w:b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b/>
                <w:color w:val="000000"/>
                <w:sz w:val="22"/>
              </w:rPr>
              <w:t xml:space="preserve">Year to Date </w:t>
            </w:r>
          </w:p>
        </w:tc>
      </w:tr>
      <w:tr>
        <w:trPr/>
        <w:tc>
          <w:tcPr>
            <w:tcW w:w="3920" w:type="dxa"/>
            <w:tcBorders/>
          </w:tcPr>
          <w:p>
            <w:pPr>
              <w:pStyle w:val="Normal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  <w:t># Lost Time Injuries*</w:t>
            </w:r>
          </w:p>
        </w:tc>
        <w:tc>
          <w:tcPr>
            <w:tcW w:w="1944" w:type="dxa"/>
            <w:tcBorders/>
          </w:tcPr>
          <w:p>
            <w:pPr>
              <w:pStyle w:val="Normal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  <w:t>0</w:t>
            </w:r>
          </w:p>
        </w:tc>
        <w:tc>
          <w:tcPr>
            <w:tcW w:w="432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2322" w:type="dxa"/>
            <w:tcBorders/>
          </w:tcPr>
          <w:p>
            <w:pPr>
              <w:pStyle w:val="Normal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  <w:t>0</w:t>
            </w:r>
          </w:p>
        </w:tc>
      </w:tr>
      <w:tr>
        <w:trPr/>
        <w:tc>
          <w:tcPr>
            <w:tcW w:w="3920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1944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432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2322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</w:tr>
      <w:tr>
        <w:trPr/>
        <w:tc>
          <w:tcPr>
            <w:tcW w:w="3920" w:type="dxa"/>
            <w:tcBorders/>
          </w:tcPr>
          <w:p>
            <w:pPr>
              <w:pStyle w:val="Normal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  <w:t># OSHA Recordable Injuries</w:t>
              <w:tab/>
            </w:r>
          </w:p>
        </w:tc>
        <w:tc>
          <w:tcPr>
            <w:tcW w:w="1944" w:type="dxa"/>
            <w:tcBorders/>
          </w:tcPr>
          <w:p>
            <w:pPr>
              <w:pStyle w:val="Normal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  <w:t>0</w:t>
            </w:r>
          </w:p>
        </w:tc>
        <w:tc>
          <w:tcPr>
            <w:tcW w:w="432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2322" w:type="dxa"/>
            <w:tcBorders/>
          </w:tcPr>
          <w:p>
            <w:pPr>
              <w:pStyle w:val="Normal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  <w:t>1</w:t>
            </w:r>
          </w:p>
        </w:tc>
      </w:tr>
      <w:tr>
        <w:trPr/>
        <w:tc>
          <w:tcPr>
            <w:tcW w:w="3920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1944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432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2322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</w:tr>
      <w:tr>
        <w:trPr/>
        <w:tc>
          <w:tcPr>
            <w:tcW w:w="3920" w:type="dxa"/>
            <w:tcBorders/>
          </w:tcPr>
          <w:p>
            <w:pPr>
              <w:pStyle w:val="Normal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  <w:t># Vehicle Accident</w:t>
            </w:r>
          </w:p>
        </w:tc>
        <w:tc>
          <w:tcPr>
            <w:tcW w:w="1944" w:type="dxa"/>
            <w:tcBorders/>
          </w:tcPr>
          <w:p>
            <w:pPr>
              <w:pStyle w:val="Normal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  <w:t>0</w:t>
            </w:r>
          </w:p>
        </w:tc>
        <w:tc>
          <w:tcPr>
            <w:tcW w:w="432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2322" w:type="dxa"/>
            <w:tcBorders/>
          </w:tcPr>
          <w:p>
            <w:pPr>
              <w:pStyle w:val="Normal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  <w:t>4</w:t>
            </w:r>
          </w:p>
        </w:tc>
      </w:tr>
      <w:tr>
        <w:trPr/>
        <w:tc>
          <w:tcPr>
            <w:tcW w:w="3920" w:type="dxa"/>
            <w:tcBorders/>
          </w:tcPr>
          <w:p>
            <w:pPr>
              <w:pStyle w:val="Normal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  <w:t># Animal Hits (not SGA Reportable)</w:t>
            </w:r>
          </w:p>
        </w:tc>
        <w:tc>
          <w:tcPr>
            <w:tcW w:w="1944" w:type="dxa"/>
            <w:tcBorders/>
          </w:tcPr>
          <w:p>
            <w:pPr>
              <w:pStyle w:val="Normal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  <w:t>0</w:t>
            </w:r>
          </w:p>
        </w:tc>
        <w:tc>
          <w:tcPr>
            <w:tcW w:w="432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2322" w:type="dxa"/>
            <w:tcBorders/>
          </w:tcPr>
          <w:p>
            <w:pPr>
              <w:pStyle w:val="Normal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  <w:t>2</w:t>
            </w:r>
          </w:p>
        </w:tc>
      </w:tr>
      <w:tr>
        <w:trPr/>
        <w:tc>
          <w:tcPr>
            <w:tcW w:w="3920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1944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432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  <w:tc>
          <w:tcPr>
            <w:tcW w:w="2322" w:type="dxa"/>
            <w:tcBorders/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Tms Rmn;Times New Roman" w:hAnsi="Tms Rmn;Times New Roman" w:cs="Tms Rmn;Times New Roman"/>
                <w:color w:val="000000"/>
                <w:sz w:val="22"/>
              </w:rPr>
            </w:pPr>
            <w:r>
              <w:rPr>
                <w:rFonts w:cs="Tms Rmn;Times New Roman" w:ascii="Tms Rmn;Times New Roman" w:hAnsi="Tms Rmn;Times New Roman"/>
                <w:color w:val="000000"/>
                <w:sz w:val="22"/>
              </w:rPr>
            </w:r>
          </w:p>
        </w:tc>
      </w:tr>
    </w:tbl>
    <w:p>
      <w:pPr>
        <w:pStyle w:val="Normal"/>
        <w:numPr>
          <w:ilvl w:val="0"/>
          <w:numId w:val="5"/>
        </w:numPr>
        <w:tabs>
          <w:tab w:val="clear" w:pos="720"/>
          <w:tab w:val="left" w:pos="420" w:leader="none"/>
        </w:tabs>
        <w:ind w:hanging="0" w:start="60" w:end="0"/>
        <w:rPr>
          <w:sz w:val="24"/>
        </w:rPr>
      </w:pPr>
      <w:r>
        <w:rPr>
          <w:sz w:val="24"/>
        </w:rPr>
        <w:t>Safety meeting @ Spearman with Perryton in attendance.</w:t>
      </w:r>
    </w:p>
    <w:p>
      <w:pPr>
        <w:pStyle w:val="Subtitle"/>
        <w:rPr>
          <w:i w:val="false"/>
          <w:i w:val="false"/>
          <w:sz w:val="24"/>
        </w:rPr>
      </w:pPr>
      <w:r>
        <w:rPr>
          <w:i w:val="false"/>
          <w:sz w:val="24"/>
        </w:rPr>
        <w:t>Compression</w:t>
      </w:r>
    </w:p>
    <w:p>
      <w:pPr>
        <w:pStyle w:val="Subtitle"/>
        <w:numPr>
          <w:ilvl w:val="0"/>
          <w:numId w:val="3"/>
        </w:numPr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Throughput for today at the Beaver could be as high as 1Bcf  by the end of day.</w:t>
      </w:r>
    </w:p>
    <w:p>
      <w:pPr>
        <w:pStyle w:val="Subtitle"/>
        <w:numPr>
          <w:ilvl w:val="0"/>
          <w:numId w:val="3"/>
        </w:numPr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Ellis 2 – The Opto panel was completed this week on Ellis 1 #3.</w:t>
      </w:r>
    </w:p>
    <w:p>
      <w:pPr>
        <w:pStyle w:val="Subtitle"/>
        <w:numPr>
          <w:ilvl w:val="0"/>
          <w:numId w:val="3"/>
        </w:numPr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Ellis 2 – 1500 hour inspections were performed on Ellis 1 #3 and Beaver Co. #6</w:t>
      </w:r>
    </w:p>
    <w:p>
      <w:pPr>
        <w:pStyle w:val="Subtitle"/>
        <w:numPr>
          <w:ilvl w:val="0"/>
          <w:numId w:val="3"/>
        </w:numPr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Other outages were of short duration and minimal impact to volume.</w:t>
      </w:r>
    </w:p>
    <w:p>
      <w:pPr>
        <w:pStyle w:val="Normal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Heading1"/>
        <w:ind w:hanging="0" w:start="0"/>
        <w:rPr/>
      </w:pPr>
      <w:r>
        <w:rPr/>
        <w:t>Pipeline</w:t>
      </w:r>
    </w:p>
    <w:p>
      <w:pPr>
        <w:pStyle w:val="Normal"/>
        <w:numPr>
          <w:ilvl w:val="0"/>
          <w:numId w:val="6"/>
        </w:numPr>
        <w:rPr/>
      </w:pPr>
      <w:r>
        <w:rPr/>
        <w:t>The pump changes were made at the Weatherford station by Randy Huff and the Elk City Team that  has improved throughput from that station to the benefit of Fleet.</w:t>
      </w:r>
    </w:p>
    <w:p>
      <w:pPr>
        <w:pStyle w:val="Normal"/>
        <w:numPr>
          <w:ilvl w:val="0"/>
          <w:numId w:val="6"/>
        </w:numPr>
        <w:rPr/>
      </w:pPr>
      <w:r>
        <w:rPr/>
        <w:t>The Gray County interconnect at P-3 is under way with Rick Brown’s group in charge.</w:t>
      </w:r>
    </w:p>
    <w:p>
      <w:pPr>
        <w:pStyle w:val="Normal"/>
        <w:numPr>
          <w:ilvl w:val="0"/>
          <w:numId w:val="6"/>
        </w:numPr>
        <w:rPr/>
      </w:pPr>
      <w:r>
        <w:rPr/>
        <w:t>AP Surveys conducted this week at Canadian and Pampa.</w:t>
      </w:r>
    </w:p>
    <w:p>
      <w:pPr>
        <w:pStyle w:val="Normal"/>
        <w:numPr>
          <w:ilvl w:val="0"/>
          <w:numId w:val="6"/>
        </w:numPr>
        <w:rPr/>
      </w:pPr>
      <w:r>
        <w:rPr/>
        <w:t>Pampa Pipeline Team working with Peter Frazier from Facility Planning to connect 24” to Oneok’s Cardary Station.</w:t>
      </w:r>
    </w:p>
    <w:p>
      <w:pPr>
        <w:pStyle w:val="Normal"/>
        <w:numPr>
          <w:ilvl w:val="0"/>
          <w:numId w:val="6"/>
        </w:numPr>
        <w:rPr/>
      </w:pPr>
      <w:r>
        <w:rPr/>
        <w:t>Corrosion meeting in Oklahoma City today, John Gormley and Pat Mullen meeting with corrosion reps. From Cimarron, Duncan, OKC and Ellis 2</w:t>
      </w:r>
    </w:p>
    <w:p>
      <w:pPr>
        <w:pStyle w:val="Normal"/>
        <w:numPr>
          <w:ilvl w:val="0"/>
          <w:numId w:val="6"/>
        </w:numPr>
        <w:rPr/>
      </w:pPr>
      <w:r>
        <w:rPr/>
        <w:t>Beaver Plant team split service on the 8” &amp; 20” dehys for the benefit of GPM throughput.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Environmental</w:t>
      </w:r>
    </w:p>
    <w:p>
      <w:pPr>
        <w:pStyle w:val="Normal"/>
        <w:numPr>
          <w:ilvl w:val="0"/>
          <w:numId w:val="2"/>
        </w:numPr>
        <w:rPr/>
      </w:pPr>
      <w:r>
        <w:rPr/>
        <w:t>Lonnie Trout is working with EPS personnel in Odessa.</w:t>
      </w:r>
    </w:p>
    <w:p>
      <w:pPr>
        <w:pStyle w:val="Normal"/>
        <w:numPr>
          <w:ilvl w:val="0"/>
          <w:numId w:val="6"/>
        </w:numPr>
        <w:rPr/>
      </w:pPr>
      <w:r>
        <w:rPr/>
        <w:t>Brent Perkins continues to help legal on the EPA 308 initiative in Houston.</w:t>
      </w:r>
    </w:p>
    <w:p>
      <w:pPr>
        <w:pStyle w:val="Normal"/>
        <w:numPr>
          <w:ilvl w:val="0"/>
          <w:numId w:val="6"/>
        </w:numPr>
        <w:rPr/>
      </w:pPr>
      <w:r>
        <w:rPr/>
        <w:t>Elk City – the clean up on EOTT’s Elk City 10” mainline is nearly complete; Eddie Smith is over seeing process with final completion expected Tuesday of next week.  The plan to run a smart pig on the line is underway.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Other</w:t>
      </w:r>
    </w:p>
    <w:p>
      <w:pPr>
        <w:pStyle w:val="Normal"/>
        <w:numPr>
          <w:ilvl w:val="0"/>
          <w:numId w:val="4"/>
        </w:numPr>
        <w:rPr/>
      </w:pPr>
      <w:r>
        <w:rPr/>
        <w:t>Team and Peer reviews are underway through out the region</w:t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  <w:color w:val="auto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lineRule="atLeast" w:line="240"/>
      <w:ind w:hanging="0" w:start="32" w:end="0"/>
      <w:jc w:val="center"/>
    </w:pPr>
    <w:rPr>
      <w:rFonts w:ascii="Tms Rmn;Times New Roman" w:hAnsi="Tms Rmn;Times New Roman" w:cs="Tms Rmn;Times New Roman"/>
      <w:b/>
      <w:color w:val="000000"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i/>
      <w:sz w:val="28"/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2001-10-25T13:59:00Z</dcterms:created>
  <dc:creator>Northern Natural Gas</dc:creator>
  <dc:description/>
  <dc:language>en-CA</dc:language>
  <cp:lastModifiedBy>EOTT ENERGY</cp:lastModifiedBy>
  <cp:lastPrinted>2001-07-19T07:31:00Z</cp:lastPrinted>
  <dcterms:modified xsi:type="dcterms:W3CDTF">2001-10-25T13:59:00Z</dcterms:modified>
  <cp:revision>2</cp:revision>
  <dc:subject/>
  <dc:title>Amarillo Weekly Conference Call – 877-795-3687    817464</dc:title>
</cp:coreProperties>
</file>