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ATTACHMENT “A”</w:t>
      </w:r>
    </w:p>
    <w:p>
      <w:pPr>
        <w:pStyle w:val="Heading"/>
        <w:rPr/>
      </w:pPr>
      <w:r>
        <w:rPr/>
        <w:t>TERM SHEET</w:t>
      </w:r>
    </w:p>
    <w:p>
      <w:pPr>
        <w:pStyle w:val="Heading"/>
        <w:rPr/>
      </w:pPr>
      <w:r>
        <w:rPr/>
      </w:r>
    </w:p>
    <w:p>
      <w:pPr>
        <w:pStyle w:val="Normal"/>
        <w:jc w:val="center"/>
        <w:rPr>
          <w:b/>
        </w:rPr>
      </w:pPr>
      <w:r>
        <w:rPr>
          <w:b/>
        </w:rPr>
      </w:r>
    </w:p>
    <w:tbl>
      <w:tblPr>
        <w:tblW w:w="9558" w:type="dxa"/>
        <w:jc w:val="start"/>
        <w:tblInd w:w="0" w:type="dxa"/>
        <w:tblLayout w:type="fixed"/>
        <w:tblCellMar>
          <w:top w:w="0" w:type="dxa"/>
          <w:start w:w="108" w:type="dxa"/>
          <w:bottom w:w="0" w:type="dxa"/>
          <w:end w:w="108" w:type="dxa"/>
        </w:tblCellMar>
      </w:tblPr>
      <w:tblGrid>
        <w:gridCol w:w="2178"/>
        <w:gridCol w:w="270"/>
        <w:gridCol w:w="7110"/>
      </w:tblGrid>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Description of Transaction: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Net Works L.L.C. ("Enron"), a subsidiary of Enron Corp., owns and operates EnronOnline, an electronic energy trading platform. Altra Energy Technologies, Inc., a ______ corporation (the “Company”), also owns and operates an electronic energy trading platform.  In the proposed transaction, Enron will acquire a 12.5% equity interest in the Company, in exchange for an agreement (the “Posting Agreement,” described in more detail below) pursuant to which Enron would agree to post prices for certain products on the Company’s platform, all as described on the terms and conditions set forth in this Term Sheet.</w:t>
            </w:r>
          </w:p>
          <w:p>
            <w:pPr>
              <w:pStyle w:val="Normal"/>
              <w:jc w:val="both"/>
              <w:rPr>
                <w:sz w:val="22"/>
              </w:rPr>
            </w:pPr>
            <w:r>
              <w:rPr>
                <w:sz w:val="22"/>
              </w:rPr>
            </w:r>
          </w:p>
          <w:p>
            <w:pPr>
              <w:pStyle w:val="Normal"/>
              <w:jc w:val="both"/>
              <w:rPr>
                <w:sz w:val="22"/>
              </w:rPr>
            </w:pPr>
            <w:r>
              <w:rPr>
                <w:sz w:val="22"/>
              </w:rPr>
              <w:t>This term sheet includes terms and conditions that Enron would typically expect to receive in an equity investment, and has been prepared without the benefit of a due diligence investigation, which Enron has yet to conduct, or substantial discussions with the Company with respect to many of the terms and conditions set forth herein.  Among other things, the terms and conditions  of any equity investment by Enron in the Company may depend upon the terms and conditions of equity investments made by other investors in the Company.  Accordingly, the term and conditions set forth herein are expressly subject to, and Enron reserves the right to reconsider the terms and conditions set forth herein as a result of, its due diligence investigation and further discussions with the Company.</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Securities to be acquired by Enron: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12.5% (computed on a fully diluted basis) of the Company’s Common Stock.  Enron’s equity interest is subject to anti-dilution protection as discussed below in “Preemptive Rights.”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Definitive Agreements: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Definitive agreements governing Enron’s acquisition of its equity interest in the Company will include a Subscription Agreement, the Company's Certificate or Articles of Incorporation and Bylaws (amended as necessary to incorporate the terms and conditions set forth herein), an Investors Rights Agreement, and the Posting Agreement (collectively, the “Definitive Agreements”, all of which are described below).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Closing Date:</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i/>
                <w:i/>
                <w:iCs/>
                <w:sz w:val="22"/>
              </w:rPr>
            </w:pPr>
            <w:r>
              <w:rPr>
                <w:sz w:val="22"/>
              </w:rPr>
              <w:t>Upon satisfaction of all of the conditions to closing set forth below.</w:t>
            </w:r>
          </w:p>
        </w:tc>
      </w:tr>
      <w:tr>
        <w:trPr/>
        <w:tc>
          <w:tcPr>
            <w:tcW w:w="2178" w:type="dxa"/>
            <w:tcBorders/>
          </w:tcPr>
          <w:p>
            <w:pPr>
              <w:pStyle w:val="Normal"/>
              <w:snapToGrid w:val="false"/>
              <w:rPr>
                <w:b/>
                <w:i/>
                <w:i/>
                <w:iCs/>
                <w:sz w:val="22"/>
              </w:rPr>
            </w:pPr>
            <w:r>
              <w:rPr>
                <w:b/>
                <w:i/>
                <w:iCs/>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Posting Agreement:</w:t>
            </w:r>
          </w:p>
        </w:tc>
        <w:tc>
          <w:tcPr>
            <w:tcW w:w="270" w:type="dxa"/>
            <w:tcBorders/>
          </w:tcPr>
          <w:p>
            <w:pPr>
              <w:pStyle w:val="Normal"/>
              <w:snapToGrid w:val="false"/>
              <w:jc w:val="center"/>
              <w:rPr>
                <w:b/>
                <w:sz w:val="22"/>
              </w:rPr>
            </w:pPr>
            <w:r>
              <w:rPr>
                <w:b/>
                <w:sz w:val="22"/>
              </w:rPr>
            </w:r>
          </w:p>
        </w:tc>
        <w:tc>
          <w:tcPr>
            <w:tcW w:w="7110" w:type="dxa"/>
            <w:tcBorders/>
          </w:tcPr>
          <w:p>
            <w:pPr>
              <w:pStyle w:val="BodyText2"/>
              <w:rPr/>
            </w:pPr>
            <w:r>
              <w:rPr/>
              <w:t xml:space="preserve">At the closing of the Transaction, the Company and Enron will enter into a “Posting Agreement” pursuant to which Enron will agree to post prices for certain products to the Company’s platform in a manner that permits the Company’s customers to electronically attempt to transact, through the Company’s website, but on Enron’s interface, with respect to Subject Products (defined below).  </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i/>
                <w:i/>
                <w:iCs/>
                <w:sz w:val="22"/>
              </w:rPr>
            </w:pPr>
            <w:r>
              <w:rPr>
                <w:sz w:val="22"/>
              </w:rPr>
              <w:t xml:space="preserve">The parties will agree to provide the various interfaces necessary for, among other things, (i) permitting Enron to post prices for Subject Products on the Company’s website, (ii) permitting the Company’s customers to attempt transactions (as discussed below) on  Enron’s interface (and in connection with such transactions, facilitating Enron’s credit decisions with respect to attempted transactions), and (iii) permitting Enron to transact on the Company's interface.  The required interfaces will be identified in the Posting Agreement, and the Posting Agreement will establish the parties' respective responsibilities for setting out specifications for, establishing, and maintaining the interfaces.  In addition to the foregoing interfaces, the Company will also publish to Enron a real-time price data feed in XML format on all North American natural gas and electricity prices on its electronic trading platform. </w:t>
            </w:r>
          </w:p>
          <w:p>
            <w:pPr>
              <w:pStyle w:val="Normal"/>
              <w:jc w:val="both"/>
              <w:rPr>
                <w:i/>
                <w:i/>
                <w:iCs/>
                <w:sz w:val="22"/>
              </w:rPr>
            </w:pPr>
            <w:r>
              <w:rPr>
                <w:i/>
                <w:iCs/>
                <w:sz w:val="22"/>
              </w:rPr>
            </w:r>
          </w:p>
        </w:tc>
      </w:tr>
      <w:tr>
        <w:trPr/>
        <w:tc>
          <w:tcPr>
            <w:tcW w:w="2178" w:type="dxa"/>
            <w:tcBorders/>
          </w:tcPr>
          <w:p>
            <w:pPr>
              <w:pStyle w:val="Normal"/>
              <w:snapToGrid w:val="false"/>
              <w:rPr>
                <w:b/>
                <w:bCs/>
                <w:sz w:val="22"/>
              </w:rPr>
            </w:pPr>
            <w:r>
              <w:rPr>
                <w:b/>
                <w:bCs/>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point of contract for all transactions consummated on prices that are posted by Enron shall be Enron’s interface.  Accordingly, prices posted by Enron on the Company’s website shall not be deemed to be offers to sell or buy, and all attempted transactions must be validated against Enron’s interface in accordance with Enron’s customary operating policies and practices.  All transactions with Enron will be consummated pursuant to Enron’s General Terms and Conditions, or the terms of a master agreement between the Company’s customer and Enron, if any.  The manner in which the Company’s customers will agree to transact under Enron’s General Terms and Conditions is to be determined.</w:t>
            </w:r>
          </w:p>
          <w:p>
            <w:pPr>
              <w:pStyle w:val="Normal"/>
              <w:rPr/>
            </w:pPr>
            <w:r>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pPr>
            <w:r>
              <w:rPr>
                <w:sz w:val="22"/>
              </w:rPr>
              <w:t>The process of “mapping” the products offered by the Company and the prices posted by Enron in order to ensure accurate matching of Subject Products between the Company’s website and Enron’s interface is to be determined.  Enron will use its commercially reasonable efforts to promptly provide the Company with such information as the Company shall reasonably require in order to map the products offered by the Company with Enron’s prices; however, the Company shall be solely responsible for the accuracy of the mapping, and Enron will not be liable to the Company or any of its customers for damages in the event of any inaccuracy in mapping.</w:t>
            </w:r>
            <w:r>
              <w:rPr>
                <w:sz w:val="22"/>
                <w:u w:val="single"/>
              </w:rPr>
              <w:t xml:space="preserve">   </w:t>
            </w:r>
          </w:p>
          <w:p>
            <w:pPr>
              <w:pStyle w:val="Heading4"/>
              <w:ind w:hanging="0" w:start="0"/>
              <w:rPr>
                <w:b w:val="false"/>
                <w:bCs w:val="false"/>
                <w:color w:val="000000"/>
                <w:sz w:val="22"/>
                <w:u w:val="single"/>
              </w:rPr>
            </w:pPr>
            <w:r>
              <w:rPr>
                <w:b w:val="false"/>
                <w:bCs w:val="false"/>
                <w:color w:val="000000"/>
                <w:sz w:val="22"/>
                <w:u w:val="single"/>
              </w:rPr>
            </w:r>
          </w:p>
        </w:tc>
      </w:tr>
      <w:tr>
        <w:trPr/>
        <w:tc>
          <w:tcPr>
            <w:tcW w:w="2178" w:type="dxa"/>
            <w:tcBorders/>
          </w:tcPr>
          <w:p>
            <w:pPr>
              <w:pStyle w:val="Normal"/>
              <w:snapToGrid w:val="false"/>
              <w:rPr>
                <w:b/>
                <w:bCs w:val="false"/>
                <w:color w:val="000000"/>
                <w:sz w:val="22"/>
                <w:u w:val="single"/>
              </w:rPr>
            </w:pPr>
            <w:r>
              <w:rPr>
                <w:b/>
                <w:bCs w:val="false"/>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BodyText3"/>
              <w:rPr>
                <w:u w:val="none"/>
              </w:rPr>
            </w:pPr>
            <w:r>
              <w:rPr>
                <w:u w:val="none"/>
              </w:rPr>
              <w:t xml:space="preserve">The Posting Agreement will provide that the Company will have the right to post Enron’s prices on the Company’s website, that the right to display Enron’s prices is not assignable and may not be delegated, and will prohibit the Company from republishing, retransmitting or redistributing the prices posted by Enron without Enron’s prior consent. </w:t>
            </w:r>
          </w:p>
          <w:p>
            <w:pPr>
              <w:pStyle w:val="Heading4"/>
              <w:ind w:hanging="0" w:start="0"/>
              <w:rPr>
                <w:b w:val="false"/>
                <w:bCs w:val="false"/>
                <w:color w:val="000000"/>
                <w:u w:val="none"/>
              </w:rPr>
            </w:pPr>
            <w:r>
              <w:rPr>
                <w:b w:val="false"/>
                <w:bCs w:val="false"/>
                <w:color w:val="000000"/>
                <w:u w:val="none"/>
              </w:rPr>
            </w:r>
          </w:p>
        </w:tc>
      </w:tr>
      <w:tr>
        <w:trPr/>
        <w:tc>
          <w:tcPr>
            <w:tcW w:w="2178" w:type="dxa"/>
            <w:tcBorders/>
          </w:tcPr>
          <w:p>
            <w:pPr>
              <w:pStyle w:val="Normal"/>
              <w:snapToGrid w:val="false"/>
              <w:rPr>
                <w:b/>
                <w:bCs/>
                <w:color w:val="000000"/>
                <w:sz w:val="22"/>
              </w:rPr>
            </w:pPr>
            <w:r>
              <w:rPr>
                <w:b/>
                <w:bCs/>
                <w:color w:val="000000"/>
                <w:sz w:val="22"/>
              </w:rPr>
            </w:r>
          </w:p>
        </w:tc>
        <w:tc>
          <w:tcPr>
            <w:tcW w:w="270" w:type="dxa"/>
            <w:tcBorders/>
          </w:tcPr>
          <w:p>
            <w:pPr>
              <w:pStyle w:val="Normal"/>
              <w:snapToGrid w:val="false"/>
              <w:jc w:val="center"/>
              <w:rPr>
                <w:b/>
                <w:sz w:val="22"/>
              </w:rPr>
            </w:pPr>
            <w:r>
              <w:rPr>
                <w:b/>
                <w:sz w:val="22"/>
              </w:rPr>
            </w:r>
          </w:p>
        </w:tc>
        <w:tc>
          <w:tcPr>
            <w:tcW w:w="7110" w:type="dxa"/>
            <w:tcBorders/>
          </w:tcPr>
          <w:p>
            <w:pPr>
              <w:pStyle w:val="BodyText2"/>
              <w:rPr/>
            </w:pPr>
            <w:r>
              <w:rPr/>
              <w:t xml:space="preserve">Enron will not be required to pay to the Company any commission or other charge with respect to any transaction completed with Enron through the Company’s Platform.  Commissions charged to those customers completing transactions with Enron shall not exceed the Company’s standard rates.  Each party shall be solely responsible for the costs and expenses of operating and maintaining its respective platform; the Company will be responsible for all telecommunication costs and expenses from the Company’s website to Enron’s website. </w:t>
            </w:r>
          </w:p>
          <w:p>
            <w:pPr>
              <w:pStyle w:val="Heading4"/>
              <w:ind w:hanging="0" w:start="0"/>
              <w:rPr>
                <w:b w:val="false"/>
                <w:bCs w:val="false"/>
                <w:color w:val="000000"/>
                <w:u w:val="single"/>
              </w:rPr>
            </w:pPr>
            <w:r>
              <w:rPr>
                <w:b w:val="false"/>
                <w:bCs w:val="false"/>
                <w:color w:val="000000"/>
                <w:u w:val="single"/>
              </w:rPr>
            </w:r>
          </w:p>
          <w:p>
            <w:pPr>
              <w:pStyle w:val="Normal"/>
              <w:jc w:val="both"/>
              <w:rPr>
                <w:sz w:val="22"/>
              </w:rPr>
            </w:pPr>
            <w:r>
              <w:rPr>
                <w:sz w:val="22"/>
              </w:rPr>
              <w:t>With respect to credit decisions, Enron shall not be required to employ identical criteria for making credit decisions with respect to transactions conducted on the Company's website as those otherwise employed by Enron, but any differences in credit criteria shall be commercially reasonable.</w:t>
            </w:r>
          </w:p>
          <w:p>
            <w:pPr>
              <w:pStyle w:val="Normal"/>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Prior to Closing, the Company and Enron will agree to specific products with respect to which Enron will post prices on the Company’s Platform (the "Subject Products”).  The list attached as Schedule “A” is a preliminary list of proposed products to be made available by Enron to the Company. Additional products may be added or deleted by subsequent agreement of the parties.</w:t>
            </w:r>
          </w:p>
          <w:p>
            <w:pPr>
              <w:pStyle w:val="Heading4"/>
              <w:ind w:hanging="0" w:start="0"/>
              <w:rPr>
                <w:b w:val="false"/>
                <w:bCs w:val="false"/>
                <w:color w:val="000000"/>
                <w:sz w:val="22"/>
                <w:u w:val="single"/>
              </w:rPr>
            </w:pPr>
            <w:r>
              <w:rPr>
                <w:b w:val="false"/>
                <w:bCs w:val="false"/>
                <w:color w:val="000000"/>
                <w:sz w:val="22"/>
                <w:u w:val="single"/>
              </w:rPr>
            </w:r>
          </w:p>
        </w:tc>
      </w:tr>
      <w:tr>
        <w:trPr/>
        <w:tc>
          <w:tcPr>
            <w:tcW w:w="2178" w:type="dxa"/>
            <w:tcBorders/>
          </w:tcPr>
          <w:p>
            <w:pPr>
              <w:pStyle w:val="Normal"/>
              <w:snapToGrid w:val="false"/>
              <w:rPr>
                <w:b/>
                <w:bCs/>
                <w:color w:val="000000"/>
                <w:sz w:val="22"/>
                <w:u w:val="single"/>
              </w:rPr>
            </w:pPr>
            <w:r>
              <w:rPr>
                <w:b/>
                <w:bCs/>
                <w:color w:val="000000"/>
                <w:sz w:val="22"/>
                <w:u w:val="single"/>
              </w:rPr>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Enron shall not be required to act in a manner that is inconsistent with or contrary to its business methods, practices or policies employed by Enron.  Without limiting the foregoing, Enron may in its sole discretion suspend or terminate prices for products, where prices been similarly suspended or terminated on EnronOnline.   </w:t>
            </w:r>
          </w:p>
          <w:p>
            <w:pPr>
              <w:pStyle w:val="Normal"/>
              <w:jc w:val="both"/>
              <w:rPr>
                <w:sz w:val="22"/>
              </w:rPr>
            </w:pPr>
            <w:r>
              <w:rPr>
                <w:sz w:val="22"/>
              </w:rPr>
            </w:r>
          </w:p>
          <w:p>
            <w:pPr>
              <w:pStyle w:val="Normal"/>
              <w:jc w:val="both"/>
              <w:rPr>
                <w:sz w:val="22"/>
              </w:rPr>
            </w:pPr>
            <w:r>
              <w:rPr>
                <w:sz w:val="22"/>
              </w:rPr>
              <w:t xml:space="preserve">Circumstances constituting a breach of the Posting Agreement by a party, consequences of either party’s breach of the Posting Agreement, and circumstances under which the Posting Agreement may be terminated by a party are to be negotiated.    In no event, however, shall any party be liable for  indirect, consequential, special, or punitive damages.  </w:t>
            </w:r>
            <w:r>
              <w:rPr>
                <w:strike/>
                <w:sz w:val="22"/>
              </w:rPr>
              <w:t xml:space="preserve">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Preemptive Rights: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At any time prior to the Company’s initial public offering, Enron shall be entitled to purchase its pro rata (based upon its equity interest) share of any additional Common Stock offered by the Company, on the same terms and conditions as such Common Stock may be offered to third parties.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 to Board Seat; Visitation and Information Rights; Veto Rights: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i/>
                <w:i/>
                <w:iCs/>
                <w:sz w:val="22"/>
              </w:rPr>
            </w:pPr>
            <w:r>
              <w:rPr>
                <w:sz w:val="22"/>
              </w:rPr>
              <w:t>At all times prior to the Company’s initial public offering, Enron shall be entitled to appoint a representative to the Company’s Board of Directors.   If Enron shall not have exercised its right to appoint a member of the Board, Enron shall be entitled to receive prior notice of board action and to attend board meetings, and shall be entitled to access to books and records of the Company.  Enron shall not have any responsibility for the day-to-day management of the Company; however, the Company may not, without Enron’s consent (which may not be unreasonably withheld, with this standard to be further developed in the Definitive Agreements) enter into certain extraordinary corporate transactions, to be defined in the Definitive Agreements but including (i) a sale of all or substantially all of the assets of the Company; (ii) any merger or consolidation transaction with any other entity in which the Company is not the surviving entity of such transaction, or in which Enron’s equity interest in the surviving entity is less that 12.5%; (iii) materially change its line of business, or (iv) reorganize, restructure, recapitalize, or take similar measures.</w:t>
            </w:r>
          </w:p>
        </w:tc>
      </w:tr>
      <w:tr>
        <w:trPr/>
        <w:tc>
          <w:tcPr>
            <w:tcW w:w="2178" w:type="dxa"/>
            <w:tcBorders/>
          </w:tcPr>
          <w:p>
            <w:pPr>
              <w:pStyle w:val="Normal"/>
              <w:snapToGrid w:val="false"/>
              <w:rPr>
                <w:b/>
                <w:i/>
                <w:i/>
                <w:iCs/>
                <w:sz w:val="22"/>
              </w:rPr>
            </w:pPr>
            <w:r>
              <w:rPr>
                <w:b/>
                <w:i/>
                <w:iCs/>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Rights to Information:</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Enron shall be entitled to receive the Company’s financial and operating information upon request, with specified information (financial statements, etc.) to be provided on a regularly scheduled basis.  Information will be provided subject to confidentiality restrictions, restrictions (including antitrust considerations), and website independence and neutrality considerations.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Enron Transfer Rights/Right of First Refusal:</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Enron shall be entitled to transfer its Common Stock, in whole or in part, at any time without restriction, other than those imposed by federal and state securities laws.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Registration Rights: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Enron shall be entitled to demand and piggyback registration rights on and subject to customary terms and provisions.  The registration rights will be set forth in the Investors' Agreement.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Subscription Agreement: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Company shall make representations and warranties (accompanied by customary indemnities) that are customary for transactions of this nature, including but not limited to:</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organization, existence and qualification;</w:t>
            </w:r>
          </w:p>
          <w:p>
            <w:pPr>
              <w:pStyle w:val="Normal"/>
              <w:numPr>
                <w:ilvl w:val="0"/>
                <w:numId w:val="2"/>
              </w:numPr>
              <w:tabs>
                <w:tab w:val="clear" w:pos="720"/>
                <w:tab w:val="left" w:pos="1368" w:leader="none"/>
              </w:tabs>
              <w:ind w:hanging="360" w:start="1368" w:end="0"/>
              <w:jc w:val="both"/>
              <w:rPr>
                <w:sz w:val="22"/>
              </w:rPr>
            </w:pPr>
            <w:r>
              <w:rPr>
                <w:sz w:val="22"/>
              </w:rPr>
              <w:t>authorization and enforceability;</w:t>
            </w:r>
          </w:p>
          <w:p>
            <w:pPr>
              <w:pStyle w:val="Normal"/>
              <w:numPr>
                <w:ilvl w:val="0"/>
                <w:numId w:val="2"/>
              </w:numPr>
              <w:tabs>
                <w:tab w:val="clear" w:pos="720"/>
                <w:tab w:val="left" w:pos="1368" w:leader="none"/>
              </w:tabs>
              <w:ind w:hanging="360" w:start="1368" w:end="0"/>
              <w:jc w:val="both"/>
              <w:rPr>
                <w:sz w:val="22"/>
              </w:rPr>
            </w:pPr>
            <w:r>
              <w:rPr>
                <w:sz w:val="22"/>
              </w:rPr>
              <w:t>organizational documents and capitalization;</w:t>
            </w:r>
          </w:p>
          <w:p>
            <w:pPr>
              <w:pStyle w:val="Normal"/>
              <w:numPr>
                <w:ilvl w:val="0"/>
                <w:numId w:val="2"/>
              </w:numPr>
              <w:tabs>
                <w:tab w:val="clear" w:pos="720"/>
                <w:tab w:val="left" w:pos="1368" w:leader="none"/>
              </w:tabs>
              <w:ind w:hanging="360" w:start="1368" w:end="0"/>
              <w:jc w:val="both"/>
              <w:rPr>
                <w:sz w:val="22"/>
              </w:rPr>
            </w:pPr>
            <w:r>
              <w:rPr>
                <w:sz w:val="22"/>
              </w:rPr>
              <w:t>valid issuance of securities;</w:t>
            </w:r>
          </w:p>
          <w:p>
            <w:pPr>
              <w:pStyle w:val="Normal"/>
              <w:numPr>
                <w:ilvl w:val="0"/>
                <w:numId w:val="2"/>
              </w:numPr>
              <w:tabs>
                <w:tab w:val="clear" w:pos="720"/>
                <w:tab w:val="left" w:pos="1368" w:leader="none"/>
              </w:tabs>
              <w:ind w:hanging="360" w:start="1368" w:end="0"/>
              <w:jc w:val="both"/>
              <w:rPr>
                <w:sz w:val="22"/>
              </w:rPr>
            </w:pPr>
            <w:r>
              <w:rPr>
                <w:sz w:val="22"/>
              </w:rPr>
              <w:t>financial statements and condition;</w:t>
            </w:r>
          </w:p>
          <w:p>
            <w:pPr>
              <w:pStyle w:val="Normal"/>
              <w:numPr>
                <w:ilvl w:val="0"/>
                <w:numId w:val="2"/>
              </w:numPr>
              <w:tabs>
                <w:tab w:val="clear" w:pos="720"/>
                <w:tab w:val="left" w:pos="1368" w:leader="none"/>
              </w:tabs>
              <w:ind w:hanging="360" w:start="1368" w:end="0"/>
              <w:jc w:val="both"/>
              <w:rPr>
                <w:sz w:val="22"/>
              </w:rPr>
            </w:pPr>
            <w:r>
              <w:rPr>
                <w:sz w:val="22"/>
              </w:rPr>
              <w:t>compliance with laws and regulatory matters;</w:t>
            </w:r>
          </w:p>
          <w:p>
            <w:pPr>
              <w:pStyle w:val="Normal"/>
              <w:numPr>
                <w:ilvl w:val="0"/>
                <w:numId w:val="2"/>
              </w:numPr>
              <w:tabs>
                <w:tab w:val="clear" w:pos="720"/>
                <w:tab w:val="left" w:pos="1368" w:leader="none"/>
              </w:tabs>
              <w:ind w:hanging="360" w:start="1368" w:end="0"/>
              <w:jc w:val="both"/>
              <w:rPr>
                <w:sz w:val="22"/>
              </w:rPr>
            </w:pPr>
            <w:r>
              <w:rPr>
                <w:sz w:val="22"/>
              </w:rPr>
              <w:t>consents, approvals, and no conflicts;</w:t>
            </w:r>
          </w:p>
          <w:p>
            <w:pPr>
              <w:pStyle w:val="Normal"/>
              <w:numPr>
                <w:ilvl w:val="0"/>
                <w:numId w:val="2"/>
              </w:numPr>
              <w:tabs>
                <w:tab w:val="clear" w:pos="720"/>
                <w:tab w:val="left" w:pos="1368" w:leader="none"/>
              </w:tabs>
              <w:ind w:hanging="360" w:start="1368" w:end="0"/>
              <w:jc w:val="both"/>
              <w:rPr>
                <w:sz w:val="22"/>
              </w:rPr>
            </w:pPr>
            <w:r>
              <w:rPr>
                <w:sz w:val="22"/>
              </w:rPr>
              <w:t>no material litigation or contingencies;</w:t>
            </w:r>
          </w:p>
          <w:p>
            <w:pPr>
              <w:pStyle w:val="Normal"/>
              <w:numPr>
                <w:ilvl w:val="0"/>
                <w:numId w:val="2"/>
              </w:numPr>
              <w:tabs>
                <w:tab w:val="clear" w:pos="720"/>
                <w:tab w:val="left" w:pos="1368" w:leader="none"/>
              </w:tabs>
              <w:ind w:hanging="360" w:start="1368" w:end="0"/>
              <w:jc w:val="both"/>
              <w:rPr>
                <w:sz w:val="22"/>
              </w:rPr>
            </w:pPr>
            <w:r>
              <w:rPr>
                <w:sz w:val="22"/>
              </w:rPr>
              <w:t>taxes;</w:t>
            </w:r>
          </w:p>
          <w:p>
            <w:pPr>
              <w:pStyle w:val="Normal"/>
              <w:numPr>
                <w:ilvl w:val="0"/>
                <w:numId w:val="2"/>
              </w:numPr>
              <w:tabs>
                <w:tab w:val="clear" w:pos="720"/>
                <w:tab w:val="left" w:pos="1368" w:leader="none"/>
              </w:tabs>
              <w:ind w:hanging="360" w:start="1368" w:end="0"/>
              <w:jc w:val="both"/>
              <w:rPr>
                <w:sz w:val="22"/>
              </w:rPr>
            </w:pPr>
            <w:r>
              <w:rPr>
                <w:sz w:val="22"/>
              </w:rPr>
              <w:t>ownership and control;</w:t>
            </w:r>
          </w:p>
          <w:p>
            <w:pPr>
              <w:pStyle w:val="Normal"/>
              <w:numPr>
                <w:ilvl w:val="0"/>
                <w:numId w:val="2"/>
              </w:numPr>
              <w:tabs>
                <w:tab w:val="clear" w:pos="720"/>
                <w:tab w:val="left" w:pos="1368" w:leader="none"/>
              </w:tabs>
              <w:ind w:hanging="360" w:start="1368" w:end="0"/>
              <w:jc w:val="both"/>
              <w:rPr>
                <w:sz w:val="22"/>
              </w:rPr>
            </w:pPr>
            <w:r>
              <w:rPr>
                <w:sz w:val="22"/>
              </w:rPr>
              <w:t xml:space="preserve">qualifications for private placement exemption. </w:t>
            </w:r>
          </w:p>
          <w:p>
            <w:pPr>
              <w:pStyle w:val="Normal"/>
              <w:jc w:val="both"/>
              <w:rPr>
                <w:sz w:val="22"/>
              </w:rPr>
            </w:pPr>
            <w:r>
              <w:rPr>
                <w:sz w:val="22"/>
              </w:rPr>
            </w:r>
          </w:p>
          <w:p>
            <w:pPr>
              <w:pStyle w:val="Normal"/>
              <w:jc w:val="both"/>
              <w:rPr>
                <w:sz w:val="22"/>
              </w:rPr>
            </w:pPr>
            <w:r>
              <w:rPr>
                <w:sz w:val="22"/>
              </w:rPr>
              <w:t>Enron will make representations and warranties that are customary for transactions of this nature, including but not limited to:</w:t>
            </w:r>
          </w:p>
          <w:p>
            <w:pPr>
              <w:pStyle w:val="Normal"/>
              <w:jc w:val="both"/>
              <w:rPr>
                <w:sz w:val="22"/>
              </w:rPr>
            </w:pPr>
            <w:r>
              <w:rPr>
                <w:sz w:val="22"/>
              </w:rPr>
            </w:r>
          </w:p>
          <w:p>
            <w:pPr>
              <w:pStyle w:val="Normal"/>
              <w:numPr>
                <w:ilvl w:val="0"/>
                <w:numId w:val="2"/>
              </w:numPr>
              <w:tabs>
                <w:tab w:val="clear" w:pos="720"/>
                <w:tab w:val="left" w:pos="1368" w:leader="none"/>
              </w:tabs>
              <w:ind w:hanging="360" w:start="1368" w:end="0"/>
              <w:jc w:val="both"/>
              <w:rPr>
                <w:sz w:val="22"/>
              </w:rPr>
            </w:pPr>
            <w:r>
              <w:rPr>
                <w:sz w:val="22"/>
              </w:rPr>
              <w:t>corporate existence and qualification;</w:t>
            </w:r>
          </w:p>
          <w:p>
            <w:pPr>
              <w:pStyle w:val="Normal"/>
              <w:numPr>
                <w:ilvl w:val="0"/>
                <w:numId w:val="2"/>
              </w:numPr>
              <w:tabs>
                <w:tab w:val="clear" w:pos="720"/>
                <w:tab w:val="left" w:pos="1368" w:leader="none"/>
              </w:tabs>
              <w:ind w:hanging="360" w:start="1368" w:end="0"/>
              <w:jc w:val="both"/>
              <w:rPr>
                <w:sz w:val="22"/>
              </w:rPr>
            </w:pPr>
            <w:r>
              <w:rPr>
                <w:sz w:val="22"/>
              </w:rPr>
              <w:t>corporate and governmental authorization;</w:t>
            </w:r>
          </w:p>
          <w:p>
            <w:pPr>
              <w:pStyle w:val="Normal"/>
              <w:numPr>
                <w:ilvl w:val="0"/>
                <w:numId w:val="2"/>
              </w:numPr>
              <w:tabs>
                <w:tab w:val="clear" w:pos="720"/>
                <w:tab w:val="left" w:pos="1368" w:leader="none"/>
              </w:tabs>
              <w:ind w:hanging="360" w:start="1368" w:end="0"/>
              <w:jc w:val="both"/>
              <w:rPr>
                <w:sz w:val="22"/>
              </w:rPr>
            </w:pPr>
            <w:r>
              <w:rPr>
                <w:sz w:val="22"/>
              </w:rPr>
              <w:t>no material litigation;</w:t>
            </w:r>
          </w:p>
          <w:p>
            <w:pPr>
              <w:pStyle w:val="Normal"/>
              <w:numPr>
                <w:ilvl w:val="0"/>
                <w:numId w:val="2"/>
              </w:numPr>
              <w:tabs>
                <w:tab w:val="clear" w:pos="720"/>
                <w:tab w:val="left" w:pos="1368" w:leader="none"/>
              </w:tabs>
              <w:ind w:hanging="360" w:start="1368" w:end="0"/>
              <w:jc w:val="both"/>
              <w:rPr>
                <w:sz w:val="22"/>
              </w:rPr>
            </w:pPr>
            <w:r>
              <w:rPr>
                <w:sz w:val="22"/>
              </w:rPr>
              <w:t>access to information regarding the Company;</w:t>
            </w:r>
          </w:p>
          <w:p>
            <w:pPr>
              <w:pStyle w:val="Normal"/>
              <w:numPr>
                <w:ilvl w:val="0"/>
                <w:numId w:val="2"/>
              </w:numPr>
              <w:tabs>
                <w:tab w:val="clear" w:pos="720"/>
                <w:tab w:val="left" w:pos="1368" w:leader="none"/>
              </w:tabs>
              <w:ind w:hanging="360" w:start="1368" w:end="0"/>
              <w:jc w:val="both"/>
              <w:rPr>
                <w:sz w:val="22"/>
              </w:rPr>
            </w:pPr>
            <w:r>
              <w:rPr>
                <w:sz w:val="22"/>
              </w:rPr>
              <w:t>additional representations and warranties necessary to qualify the transaction for a private placement exemption under the U.S. securities laws.</w:t>
            </w:r>
          </w:p>
          <w:p>
            <w:pPr>
              <w:pStyle w:val="Normal"/>
              <w:jc w:val="both"/>
              <w:rPr>
                <w:sz w:val="22"/>
              </w:rPr>
            </w:pPr>
            <w:r>
              <w:rPr>
                <w:sz w:val="22"/>
              </w:rPr>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Business Opportunity Agreement:</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business opportunity agreement providing that Enron and its affiliates shall be entitled to enter into similar commercial transactions with other parties, including ventures that may compete with the Company.</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Conditions to Closing:</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Usual and customary for transactions of this nature, including but not limited to the following:</w:t>
            </w:r>
          </w:p>
          <w:p>
            <w:pPr>
              <w:pStyle w:val="Normal"/>
              <w:jc w:val="both"/>
              <w:rPr>
                <w:sz w:val="22"/>
              </w:rPr>
            </w:pPr>
            <w:r>
              <w:rPr>
                <w:sz w:val="22"/>
              </w:rPr>
            </w:r>
          </w:p>
          <w:p>
            <w:pPr>
              <w:pStyle w:val="Normal"/>
              <w:numPr>
                <w:ilvl w:val="0"/>
                <w:numId w:val="3"/>
              </w:numPr>
              <w:jc w:val="both"/>
              <w:rPr>
                <w:sz w:val="22"/>
              </w:rPr>
            </w:pPr>
            <w:r>
              <w:rPr>
                <w:sz w:val="22"/>
              </w:rPr>
              <w:t>completion of due diligence investigations satisfactory to Enron;</w:t>
            </w:r>
          </w:p>
          <w:p>
            <w:pPr>
              <w:pStyle w:val="Normal"/>
              <w:numPr>
                <w:ilvl w:val="0"/>
                <w:numId w:val="3"/>
              </w:numPr>
              <w:jc w:val="both"/>
              <w:rPr>
                <w:sz w:val="22"/>
              </w:rPr>
            </w:pPr>
            <w:r>
              <w:rPr>
                <w:sz w:val="22"/>
              </w:rPr>
              <w:t xml:space="preserve">negotiation of Definitive Agreements to the satisfaction of each of the parties, with all Definitive Agreements in full force and effect; </w:t>
            </w:r>
          </w:p>
          <w:p>
            <w:pPr>
              <w:pStyle w:val="Normal"/>
              <w:numPr>
                <w:ilvl w:val="0"/>
                <w:numId w:val="3"/>
              </w:numPr>
              <w:jc w:val="both"/>
              <w:rPr>
                <w:sz w:val="22"/>
              </w:rPr>
            </w:pPr>
            <w:r>
              <w:rPr>
                <w:sz w:val="22"/>
              </w:rPr>
              <w:t>all representations and warranties in the Definitive Agreements shall be true and correct;</w:t>
            </w:r>
          </w:p>
          <w:p>
            <w:pPr>
              <w:pStyle w:val="Normal"/>
              <w:numPr>
                <w:ilvl w:val="0"/>
                <w:numId w:val="3"/>
              </w:numPr>
              <w:jc w:val="both"/>
              <w:rPr>
                <w:sz w:val="22"/>
              </w:rPr>
            </w:pPr>
            <w:r>
              <w:rPr>
                <w:sz w:val="22"/>
              </w:rPr>
              <w:t>there shall be no order, statute, law, regulation, etc. prohibiting the transactions contemplated by the Definitive Agreements;</w:t>
            </w:r>
          </w:p>
          <w:p>
            <w:pPr>
              <w:pStyle w:val="Normal"/>
              <w:numPr>
                <w:ilvl w:val="0"/>
                <w:numId w:val="3"/>
              </w:numPr>
              <w:jc w:val="both"/>
              <w:rPr>
                <w:sz w:val="22"/>
              </w:rPr>
            </w:pPr>
            <w:r>
              <w:rPr>
                <w:sz w:val="22"/>
              </w:rPr>
              <w:t xml:space="preserve">compliance with laws (including Hart-Scott-Rodino, if applicable); </w:t>
            </w:r>
          </w:p>
          <w:p>
            <w:pPr>
              <w:pStyle w:val="Normal"/>
              <w:numPr>
                <w:ilvl w:val="0"/>
                <w:numId w:val="3"/>
              </w:numPr>
              <w:jc w:val="both"/>
              <w:rPr>
                <w:sz w:val="22"/>
              </w:rPr>
            </w:pPr>
            <w:r>
              <w:rPr>
                <w:sz w:val="22"/>
              </w:rPr>
              <w:t>receipt of necessary consents and approvals; and</w:t>
            </w:r>
          </w:p>
          <w:p>
            <w:pPr>
              <w:pStyle w:val="Normal"/>
              <w:numPr>
                <w:ilvl w:val="0"/>
                <w:numId w:val="3"/>
              </w:numPr>
              <w:jc w:val="both"/>
              <w:rPr>
                <w:sz w:val="22"/>
              </w:rPr>
            </w:pPr>
            <w:r>
              <w:rPr>
                <w:sz w:val="22"/>
              </w:rPr>
              <w:t>receipt of customary legal opinions.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 xml:space="preserve">Confidentiality: </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include a confidentiality agreement requiring each of Enron and the Company to keep confidential certain information that they receive in the course of performance of the Definitive Agreements.</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Expenses:</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 xml:space="preserve">Each of Enron and the Company will be responsible for payment of its own legal and professional fees, expenses, and transaction costs incurred in connection with the evaluation and negotiation of the proposed Transaction and the Definitive Agreements.  </w:t>
            </w:r>
          </w:p>
        </w:tc>
      </w:tr>
      <w:tr>
        <w:trPr/>
        <w:tc>
          <w:tcPr>
            <w:tcW w:w="2178" w:type="dxa"/>
            <w:tcBorders/>
          </w:tcPr>
          <w:p>
            <w:pPr>
              <w:pStyle w:val="Normal"/>
              <w:snapToGrid w:val="false"/>
              <w:rPr>
                <w:b/>
                <w:sz w:val="22"/>
              </w:rPr>
            </w:pPr>
            <w:r>
              <w:rPr>
                <w:b/>
                <w:sz w:val="22"/>
              </w:rPr>
            </w:r>
          </w:p>
        </w:tc>
        <w:tc>
          <w:tcPr>
            <w:tcW w:w="270" w:type="dxa"/>
            <w:tcBorders/>
          </w:tcPr>
          <w:p>
            <w:pPr>
              <w:pStyle w:val="Normal"/>
              <w:snapToGrid w:val="false"/>
              <w:jc w:val="center"/>
              <w:rPr>
                <w:b/>
                <w:sz w:val="22"/>
              </w:rPr>
            </w:pPr>
            <w:r>
              <w:rPr>
                <w:b/>
                <w:sz w:val="22"/>
              </w:rPr>
            </w:r>
          </w:p>
        </w:tc>
        <w:tc>
          <w:tcPr>
            <w:tcW w:w="7110" w:type="dxa"/>
            <w:tcBorders/>
          </w:tcPr>
          <w:p>
            <w:pPr>
              <w:pStyle w:val="Normal"/>
              <w:snapToGrid w:val="false"/>
              <w:jc w:val="both"/>
              <w:rPr>
                <w:b/>
                <w:sz w:val="22"/>
              </w:rPr>
            </w:pPr>
            <w:r>
              <w:rPr>
                <w:b/>
                <w:sz w:val="22"/>
              </w:rPr>
            </w:r>
          </w:p>
        </w:tc>
      </w:tr>
      <w:tr>
        <w:trPr/>
        <w:tc>
          <w:tcPr>
            <w:tcW w:w="2178" w:type="dxa"/>
            <w:tcBorders/>
          </w:tcPr>
          <w:p>
            <w:pPr>
              <w:pStyle w:val="Normal"/>
              <w:rPr>
                <w:b/>
                <w:sz w:val="22"/>
              </w:rPr>
            </w:pPr>
            <w:r>
              <w:rPr>
                <w:b/>
                <w:sz w:val="22"/>
              </w:rPr>
              <w:t>Governing Law:</w:t>
            </w:r>
          </w:p>
        </w:tc>
        <w:tc>
          <w:tcPr>
            <w:tcW w:w="270" w:type="dxa"/>
            <w:tcBorders/>
          </w:tcPr>
          <w:p>
            <w:pPr>
              <w:pStyle w:val="Normal"/>
              <w:snapToGrid w:val="false"/>
              <w:jc w:val="center"/>
              <w:rPr>
                <w:b/>
                <w:sz w:val="22"/>
              </w:rPr>
            </w:pPr>
            <w:r>
              <w:rPr>
                <w:b/>
                <w:sz w:val="22"/>
              </w:rPr>
            </w:r>
          </w:p>
        </w:tc>
        <w:tc>
          <w:tcPr>
            <w:tcW w:w="7110" w:type="dxa"/>
            <w:tcBorders/>
          </w:tcPr>
          <w:p>
            <w:pPr>
              <w:pStyle w:val="Normal"/>
              <w:jc w:val="both"/>
              <w:rPr>
                <w:sz w:val="22"/>
              </w:rPr>
            </w:pPr>
            <w:r>
              <w:rPr>
                <w:sz w:val="22"/>
              </w:rPr>
              <w:t>The Definitive Agreements will be governed by the laws of state(s) to be determined.</w:t>
            </w:r>
          </w:p>
        </w:tc>
      </w:tr>
    </w:tbl>
    <w:p>
      <w:pPr>
        <w:pStyle w:val="Normal"/>
        <w:jc w:val="center"/>
        <w:rPr>
          <w:b/>
          <w:sz w:val="22"/>
        </w:rPr>
      </w:pPr>
      <w:r>
        <w:rPr>
          <w:b/>
          <w:sz w:val="22"/>
        </w:rPr>
      </w:r>
    </w:p>
    <w:p>
      <w:pPr>
        <w:pStyle w:val="BodyText"/>
        <w:rPr/>
      </w:pPr>
      <w:r>
        <w:rPr/>
        <w:t>THE SUMMARY OF TERMS SET FORTH IN THIS TERM SHEET IS NOT COMPLETE AND ALL-INCLUSIVE OF THE TERMS OF THE PROPOSED TRANSACTION, IS FOR DISCUSSION PURPOSES ONLY, AND DOES NOT PURPORT TO CREATE AND IS NOT INTENDED TO CRATE A BINDING OR ENFORCEABLE CONTRACT BETWEEN THE PARTIES OR ANY DUTY ON THE PART OF ANY PERSON TO NEGOTIATION TOWARD A BIDING CONTRACT.  THE PARTIES MAY TERMINATE DISCUSSIONS AND NEGOTIATIONS REGARDING A POSSIBLE TRANSACTION AT ANY TIME WITHOUT CAUSE AND WITHOUT ANY LIABILITY WHATSOEVER, AND THIS SUMMARY MAY NOT BE RELIED UPON BY ANY PERSON AS THE BASIS FOR A CONTRACT BY ESTOPPEL OR OTHERWISE.</w:t>
      </w:r>
      <w:r>
        <w:br w:type="page"/>
      </w:r>
    </w:p>
    <w:p>
      <w:pPr>
        <w:pStyle w:val="Heading1"/>
        <w:ind w:hanging="0" w:start="0"/>
        <w:jc w:val="center"/>
        <w:rPr>
          <w:sz w:val="24"/>
        </w:rPr>
      </w:pPr>
      <w:r>
        <w:rPr>
          <w:sz w:val="24"/>
        </w:rPr>
        <w:t>SCHEDULE “A”</w:t>
      </w:r>
    </w:p>
    <w:p>
      <w:pPr>
        <w:pStyle w:val="Heading1"/>
        <w:ind w:hanging="0" w:start="0"/>
        <w:rPr>
          <w:sz w:val="24"/>
        </w:rPr>
      </w:pPr>
      <w:r>
        <w:rPr>
          <w:sz w:val="24"/>
        </w:rPr>
      </w:r>
    </w:p>
    <w:p>
      <w:pPr>
        <w:pStyle w:val="Heading1"/>
        <w:ind w:hanging="0" w:start="0"/>
        <w:jc w:val="center"/>
        <w:rPr>
          <w:sz w:val="24"/>
        </w:rPr>
      </w:pPr>
      <w:r>
        <w:rPr>
          <w:sz w:val="24"/>
        </w:rPr>
        <w:t>PRODUCT QUOTE LIST</w:t>
      </w:r>
    </w:p>
    <w:p>
      <w:pPr>
        <w:pStyle w:val="Normal"/>
        <w:rPr>
          <w:sz w:val="24"/>
        </w:rPr>
      </w:pPr>
      <w:r>
        <w:rPr>
          <w:sz w:val="24"/>
        </w:rPr>
      </w:r>
    </w:p>
    <w:p>
      <w:pPr>
        <w:pStyle w:val="Heading2"/>
        <w:ind w:hanging="0" w:start="0"/>
        <w:rPr>
          <w:b/>
          <w:bCs/>
          <w:sz w:val="24"/>
        </w:rPr>
      </w:pPr>
      <w:r>
        <w:rPr>
          <w:b/>
          <w:bCs/>
          <w:sz w:val="24"/>
        </w:rPr>
        <w:t>Power</w:t>
      </w:r>
    </w:p>
    <w:p>
      <w:pPr>
        <w:pStyle w:val="Normal"/>
        <w:rPr>
          <w:b/>
          <w:bCs/>
          <w:sz w:val="24"/>
        </w:rPr>
      </w:pPr>
      <w:r>
        <w:rPr>
          <w:b/>
          <w:bCs/>
          <w:sz w:val="24"/>
        </w:rPr>
      </w:r>
    </w:p>
    <w:p>
      <w:pPr>
        <w:pStyle w:val="Heading1"/>
        <w:ind w:hanging="0" w:start="0"/>
        <w:rPr>
          <w:sz w:val="24"/>
        </w:rPr>
      </w:pPr>
      <w:r>
        <w:rPr>
          <w:sz w:val="24"/>
        </w:rPr>
        <w:t>LOCATIONS</w:t>
      </w:r>
    </w:p>
    <w:p>
      <w:pPr>
        <w:pStyle w:val="Normal"/>
        <w:rPr>
          <w:sz w:val="24"/>
        </w:rPr>
      </w:pPr>
      <w:r>
        <w:rPr>
          <w:sz w:val="24"/>
        </w:rPr>
      </w:r>
    </w:p>
    <w:p>
      <w:pPr>
        <w:pStyle w:val="Normal"/>
        <w:rPr/>
      </w:pPr>
      <w:r>
        <w:rPr/>
        <w:t>East</w:t>
      </w:r>
    </w:p>
    <w:p>
      <w:pPr>
        <w:pStyle w:val="Normal"/>
        <w:ind w:firstLine="720" w:end="0"/>
        <w:rPr/>
      </w:pPr>
      <w:r>
        <w:rPr/>
        <w:t>CINERGY</w:t>
      </w:r>
    </w:p>
    <w:p>
      <w:pPr>
        <w:pStyle w:val="Normal"/>
        <w:ind w:firstLine="720" w:end="0"/>
        <w:rPr/>
      </w:pPr>
      <w:r>
        <w:rPr/>
        <w:t>NEPOOL</w:t>
      </w:r>
    </w:p>
    <w:p>
      <w:pPr>
        <w:pStyle w:val="Normal"/>
        <w:ind w:firstLine="720" w:end="0"/>
        <w:rPr/>
      </w:pPr>
      <w:r>
        <w:rPr/>
        <w:t>PJM-W</w:t>
      </w:r>
    </w:p>
    <w:p>
      <w:pPr>
        <w:pStyle w:val="Normal"/>
        <w:ind w:firstLine="720" w:end="0"/>
        <w:rPr/>
      </w:pPr>
      <w:r>
        <w:rPr/>
        <w:t>ENTERGY</w:t>
      </w:r>
    </w:p>
    <w:p>
      <w:pPr>
        <w:pStyle w:val="Normal"/>
        <w:ind w:firstLine="720" w:end="0"/>
        <w:rPr/>
      </w:pPr>
      <w:r>
        <w:rPr/>
        <w:t>TVA</w:t>
      </w:r>
    </w:p>
    <w:p>
      <w:pPr>
        <w:pStyle w:val="Normal"/>
        <w:rPr/>
      </w:pPr>
      <w:r>
        <w:rPr/>
      </w:r>
    </w:p>
    <w:p>
      <w:pPr>
        <w:pStyle w:val="Normal"/>
        <w:rPr/>
      </w:pPr>
      <w:r>
        <w:rPr/>
        <w:t>West</w:t>
      </w:r>
    </w:p>
    <w:p>
      <w:pPr>
        <w:pStyle w:val="Normal"/>
        <w:ind w:firstLine="720" w:end="0"/>
        <w:rPr/>
      </w:pPr>
      <w:r>
        <w:rPr/>
        <w:t>COB N/S</w:t>
      </w:r>
    </w:p>
    <w:p>
      <w:pPr>
        <w:pStyle w:val="Normal"/>
        <w:ind w:firstLine="720" w:end="0"/>
        <w:rPr/>
      </w:pPr>
      <w:r>
        <w:rPr/>
        <w:t>MID-C</w:t>
      </w:r>
    </w:p>
    <w:p>
      <w:pPr>
        <w:pStyle w:val="Normal"/>
        <w:ind w:firstLine="720" w:end="0"/>
        <w:rPr/>
      </w:pPr>
      <w:r>
        <w:rPr/>
        <w:t>CAISO NP-15</w:t>
      </w:r>
    </w:p>
    <w:p>
      <w:pPr>
        <w:pStyle w:val="Normal"/>
        <w:ind w:firstLine="720" w:end="0"/>
        <w:rPr/>
      </w:pPr>
      <w:r>
        <w:rPr/>
        <w:t>CAISO SP-15</w:t>
      </w:r>
    </w:p>
    <w:p>
      <w:pPr>
        <w:pStyle w:val="Normal"/>
        <w:ind w:firstLine="720" w:end="0"/>
        <w:rPr/>
      </w:pPr>
      <w:r>
        <w:rPr/>
        <w:t>PALO VERDE</w:t>
      </w:r>
    </w:p>
    <w:p>
      <w:pPr>
        <w:pStyle w:val="Normal"/>
        <w:rPr/>
      </w:pPr>
      <w:r>
        <w:rPr/>
      </w:r>
    </w:p>
    <w:p>
      <w:pPr>
        <w:pStyle w:val="Normal"/>
        <w:rPr/>
      </w:pPr>
      <w:r>
        <w:rPr>
          <w:b/>
          <w:u w:val="single"/>
        </w:rPr>
        <w:t>INSTRUMENT</w:t>
      </w:r>
      <w:r>
        <w:rPr>
          <w:bCs/>
        </w:rPr>
        <w:t xml:space="preserve"> (where applicable)</w:t>
      </w:r>
    </w:p>
    <w:p>
      <w:pPr>
        <w:pStyle w:val="Normal"/>
        <w:rPr>
          <w:b/>
          <w:bCs/>
          <w:u w:val="single"/>
        </w:rPr>
      </w:pPr>
      <w:r>
        <w:rPr>
          <w:b/>
          <w:bCs/>
          <w:u w:val="single"/>
        </w:rPr>
      </w:r>
    </w:p>
    <w:p>
      <w:pPr>
        <w:pStyle w:val="Normal"/>
        <w:rPr/>
      </w:pPr>
      <w:r>
        <w:rPr/>
        <w:t>Peak, Physical</w:t>
      </w:r>
    </w:p>
    <w:p>
      <w:pPr>
        <w:pStyle w:val="Normal"/>
        <w:rPr/>
      </w:pPr>
      <w:r>
        <w:rPr/>
      </w:r>
    </w:p>
    <w:p>
      <w:pPr>
        <w:pStyle w:val="Heading1"/>
        <w:ind w:hanging="0" w:start="0"/>
        <w:rPr/>
      </w:pPr>
      <w:r>
        <w:rPr>
          <w:sz w:val="24"/>
        </w:rPr>
        <w:t>TERMS</w:t>
      </w:r>
      <w:r>
        <w:rPr>
          <w:b w:val="false"/>
          <w:bCs/>
          <w:sz w:val="24"/>
          <w:u w:val="none"/>
        </w:rPr>
        <w:t xml:space="preserve"> (where applicable)</w:t>
      </w:r>
    </w:p>
    <w:p>
      <w:pPr>
        <w:pStyle w:val="Normal"/>
        <w:rPr>
          <w:b/>
          <w:bCs/>
          <w:sz w:val="24"/>
          <w:u w:val="none"/>
        </w:rPr>
      </w:pPr>
      <w:r>
        <w:rPr>
          <w:b/>
          <w:bCs/>
          <w:sz w:val="24"/>
          <w:u w:val="none"/>
        </w:rPr>
      </w:r>
    </w:p>
    <w:p>
      <w:pPr>
        <w:pStyle w:val="Normal"/>
        <w:rPr/>
      </w:pPr>
      <w:r>
        <w:rPr/>
        <w:t>Next Day</w:t>
      </w:r>
    </w:p>
    <w:p>
      <w:pPr>
        <w:pStyle w:val="Normal"/>
        <w:rPr/>
      </w:pPr>
      <w:r>
        <w:rPr/>
        <w:t>Prompt month</w:t>
      </w:r>
    </w:p>
    <w:p>
      <w:pPr>
        <w:pStyle w:val="Normal"/>
        <w:rPr/>
      </w:pPr>
      <w:r>
        <w:rPr/>
        <w:t>Others terms at our option</w:t>
      </w:r>
    </w:p>
    <w:p>
      <w:pPr>
        <w:pStyle w:val="Normal"/>
        <w:rPr/>
      </w:pPr>
      <w:r>
        <w:rPr/>
      </w:r>
    </w:p>
    <w:p>
      <w:pPr>
        <w:pStyle w:val="Heading2"/>
        <w:ind w:hanging="0" w:start="0"/>
        <w:rPr>
          <w:b/>
          <w:bCs/>
          <w:sz w:val="24"/>
        </w:rPr>
      </w:pPr>
      <w:r>
        <w:rPr>
          <w:b/>
          <w:bCs/>
          <w:sz w:val="24"/>
        </w:rPr>
        <w:t>Natural Gas</w:t>
      </w:r>
    </w:p>
    <w:p>
      <w:pPr>
        <w:pStyle w:val="Normal"/>
        <w:rPr>
          <w:b/>
          <w:bCs/>
          <w:sz w:val="24"/>
        </w:rPr>
      </w:pPr>
      <w:r>
        <w:rPr>
          <w:b/>
          <w:bCs/>
          <w:sz w:val="24"/>
        </w:rPr>
      </w:r>
    </w:p>
    <w:p>
      <w:pPr>
        <w:pStyle w:val="Heading1"/>
        <w:ind w:hanging="0" w:start="0"/>
        <w:rPr>
          <w:sz w:val="24"/>
        </w:rPr>
      </w:pPr>
      <w:r>
        <w:rPr>
          <w:sz w:val="24"/>
        </w:rPr>
        <w:t>LOCATIONS</w:t>
      </w:r>
    </w:p>
    <w:p>
      <w:pPr>
        <w:pStyle w:val="Normal"/>
        <w:rPr>
          <w:sz w:val="24"/>
        </w:rPr>
      </w:pPr>
      <w:r>
        <w:rPr>
          <w:sz w:val="24"/>
        </w:rPr>
      </w:r>
    </w:p>
    <w:p>
      <w:pPr>
        <w:pStyle w:val="Normal"/>
        <w:rPr/>
      </w:pPr>
      <w:r>
        <w:rPr/>
        <w:t>HENRY HUB</w:t>
      </w:r>
    </w:p>
    <w:p>
      <w:pPr>
        <w:pStyle w:val="Normal"/>
        <w:rPr/>
      </w:pPr>
      <w:r>
        <w:rPr/>
        <w:tab/>
        <w:t>Physical</w:t>
      </w:r>
    </w:p>
    <w:p>
      <w:pPr>
        <w:pStyle w:val="Normal"/>
        <w:rPr/>
      </w:pPr>
      <w:r>
        <w:rPr/>
        <w:t xml:space="preserve"> </w:t>
      </w:r>
      <w:r>
        <w:rPr/>
        <w:tab/>
        <w:t>Financial</w:t>
      </w:r>
    </w:p>
    <w:p>
      <w:pPr>
        <w:pStyle w:val="Normal"/>
        <w:rPr/>
      </w:pPr>
      <w:r>
        <w:rPr/>
      </w:r>
    </w:p>
    <w:p>
      <w:pPr>
        <w:pStyle w:val="Normal"/>
        <w:rPr/>
      </w:pPr>
      <w:r>
        <w:rPr/>
        <w:t>NYMEX</w:t>
      </w:r>
    </w:p>
    <w:p>
      <w:pPr>
        <w:pStyle w:val="Normal"/>
        <w:rPr/>
      </w:pPr>
      <w:r>
        <w:rPr/>
        <w:tab/>
        <w:t>Financial</w:t>
      </w:r>
    </w:p>
    <w:p>
      <w:pPr>
        <w:pStyle w:val="Normal"/>
        <w:rPr/>
      </w:pPr>
      <w:r>
        <w:rPr/>
      </w:r>
    </w:p>
    <w:p>
      <w:pPr>
        <w:pStyle w:val="Normal"/>
        <w:rPr/>
      </w:pPr>
      <w:r>
        <w:rPr/>
        <w:t>TENN. LA</w:t>
      </w:r>
    </w:p>
    <w:p>
      <w:pPr>
        <w:pStyle w:val="Normal"/>
        <w:rPr/>
      </w:pPr>
      <w:r>
        <w:rPr/>
        <w:tab/>
        <w:t>Physical</w:t>
      </w:r>
    </w:p>
    <w:p>
      <w:pPr>
        <w:pStyle w:val="Normal"/>
        <w:rPr/>
      </w:pPr>
      <w:r>
        <w:rPr/>
        <w:tab/>
        <w:t>Financial</w:t>
      </w:r>
    </w:p>
    <w:p>
      <w:pPr>
        <w:pStyle w:val="Normal"/>
        <w:rPr/>
      </w:pPr>
      <w:r>
        <w:rPr/>
      </w:r>
    </w:p>
    <w:p>
      <w:pPr>
        <w:pStyle w:val="Normal"/>
        <w:rPr/>
      </w:pPr>
      <w:r>
        <w:rPr/>
      </w:r>
    </w:p>
    <w:p>
      <w:pPr>
        <w:pStyle w:val="Normal"/>
        <w:rPr/>
      </w:pPr>
      <w:r>
        <w:rPr/>
      </w:r>
    </w:p>
    <w:p>
      <w:pPr>
        <w:pStyle w:val="Normal"/>
        <w:rPr/>
      </w:pPr>
      <w:r>
        <w:rPr/>
        <w:t>TETCO ELA</w:t>
      </w:r>
    </w:p>
    <w:p>
      <w:pPr>
        <w:pStyle w:val="Normal"/>
        <w:rPr/>
      </w:pPr>
      <w:r>
        <w:rPr/>
        <w:tab/>
        <w:t>Physical</w:t>
      </w:r>
    </w:p>
    <w:p>
      <w:pPr>
        <w:pStyle w:val="Normal"/>
        <w:rPr/>
      </w:pPr>
      <w:r>
        <w:rPr/>
        <w:tab/>
        <w:t>Financial</w:t>
      </w:r>
    </w:p>
    <w:p>
      <w:pPr>
        <w:pStyle w:val="Normal"/>
        <w:rPr/>
      </w:pPr>
      <w:r>
        <w:rPr/>
      </w:r>
    </w:p>
    <w:p>
      <w:pPr>
        <w:pStyle w:val="Normal"/>
        <w:rPr/>
      </w:pPr>
      <w:r>
        <w:rPr/>
        <w:t>TRANSCO ST. 65</w:t>
      </w:r>
    </w:p>
    <w:p>
      <w:pPr>
        <w:pStyle w:val="Normal"/>
        <w:rPr/>
      </w:pPr>
      <w:r>
        <w:rPr/>
        <w:tab/>
        <w:t>Physical</w:t>
      </w:r>
    </w:p>
    <w:p>
      <w:pPr>
        <w:pStyle w:val="Normal"/>
        <w:rPr/>
      </w:pPr>
      <w:r>
        <w:rPr/>
        <w:tab/>
        <w:t>Financial</w:t>
      </w:r>
    </w:p>
    <w:p>
      <w:pPr>
        <w:pStyle w:val="Normal"/>
        <w:rPr/>
      </w:pPr>
      <w:r>
        <w:rPr/>
      </w:r>
    </w:p>
    <w:p>
      <w:pPr>
        <w:pStyle w:val="Normal"/>
        <w:rPr/>
      </w:pPr>
      <w:r>
        <w:rPr/>
        <w:t>CHICAGO</w:t>
      </w:r>
    </w:p>
    <w:p>
      <w:pPr>
        <w:pStyle w:val="Normal"/>
        <w:rPr/>
      </w:pPr>
      <w:r>
        <w:rPr/>
        <w:tab/>
        <w:t>Physical</w:t>
      </w:r>
    </w:p>
    <w:p>
      <w:pPr>
        <w:pStyle w:val="Normal"/>
        <w:rPr/>
      </w:pPr>
      <w:r>
        <w:rPr/>
        <w:tab/>
        <w:t>Financial</w:t>
      </w:r>
    </w:p>
    <w:p>
      <w:pPr>
        <w:pStyle w:val="Normal"/>
        <w:rPr/>
      </w:pPr>
      <w:r>
        <w:rPr/>
      </w:r>
    </w:p>
    <w:p>
      <w:pPr>
        <w:pStyle w:val="Normal"/>
        <w:rPr/>
      </w:pPr>
      <w:r>
        <w:rPr/>
        <w:t>TCO POOL</w:t>
      </w:r>
    </w:p>
    <w:p>
      <w:pPr>
        <w:pStyle w:val="Normal"/>
        <w:rPr/>
      </w:pPr>
      <w:r>
        <w:rPr/>
        <w:tab/>
        <w:t>Physical</w:t>
      </w:r>
    </w:p>
    <w:p>
      <w:pPr>
        <w:pStyle w:val="Normal"/>
        <w:rPr/>
      </w:pPr>
      <w:r>
        <w:rPr/>
        <w:tab/>
        <w:t>Financial</w:t>
      </w:r>
    </w:p>
    <w:p>
      <w:pPr>
        <w:pStyle w:val="Normal"/>
        <w:rPr/>
      </w:pPr>
      <w:r>
        <w:rPr/>
      </w:r>
    </w:p>
    <w:p>
      <w:pPr>
        <w:pStyle w:val="Normal"/>
        <w:rPr/>
      </w:pPr>
      <w:r>
        <w:rPr/>
        <w:t>TRANSCO Z6</w:t>
      </w:r>
    </w:p>
    <w:p>
      <w:pPr>
        <w:pStyle w:val="Normal"/>
        <w:rPr/>
      </w:pPr>
      <w:r>
        <w:rPr/>
        <w:tab/>
        <w:t>Physical</w:t>
      </w:r>
    </w:p>
    <w:p>
      <w:pPr>
        <w:pStyle w:val="Normal"/>
        <w:rPr/>
      </w:pPr>
      <w:r>
        <w:rPr/>
        <w:tab/>
        <w:t>Financial</w:t>
      </w:r>
    </w:p>
    <w:p>
      <w:pPr>
        <w:pStyle w:val="Normal"/>
        <w:rPr/>
      </w:pPr>
      <w:r>
        <w:rPr/>
      </w:r>
    </w:p>
    <w:p>
      <w:pPr>
        <w:pStyle w:val="Normal"/>
        <w:rPr/>
      </w:pPr>
      <w:r>
        <w:rPr/>
        <w:t>PEPL</w:t>
      </w:r>
    </w:p>
    <w:p>
      <w:pPr>
        <w:pStyle w:val="Normal"/>
        <w:rPr/>
      </w:pPr>
      <w:r>
        <w:rPr/>
        <w:tab/>
        <w:t>Physical</w:t>
      </w:r>
    </w:p>
    <w:p>
      <w:pPr>
        <w:pStyle w:val="Normal"/>
        <w:rPr/>
      </w:pPr>
      <w:r>
        <w:rPr/>
        <w:tab/>
        <w:t>Financial</w:t>
      </w:r>
    </w:p>
    <w:p>
      <w:pPr>
        <w:pStyle w:val="Normal"/>
        <w:rPr/>
      </w:pPr>
      <w:r>
        <w:rPr/>
      </w:r>
    </w:p>
    <w:p>
      <w:pPr>
        <w:pStyle w:val="Normal"/>
        <w:rPr/>
      </w:pPr>
      <w:r>
        <w:rPr/>
        <w:t>ELP SANJUAN</w:t>
      </w:r>
    </w:p>
    <w:p>
      <w:pPr>
        <w:pStyle w:val="Normal"/>
        <w:rPr/>
      </w:pPr>
      <w:r>
        <w:rPr/>
        <w:tab/>
        <w:t>Physical</w:t>
      </w:r>
    </w:p>
    <w:p>
      <w:pPr>
        <w:pStyle w:val="Normal"/>
        <w:rPr/>
      </w:pPr>
      <w:r>
        <w:rPr/>
        <w:tab/>
        <w:t>Financial</w:t>
      </w:r>
    </w:p>
    <w:p>
      <w:pPr>
        <w:pStyle w:val="Normal"/>
        <w:rPr/>
      </w:pPr>
      <w:r>
        <w:rPr/>
      </w:r>
    </w:p>
    <w:p>
      <w:pPr>
        <w:pStyle w:val="Normal"/>
        <w:rPr/>
      </w:pPr>
      <w:r>
        <w:rPr/>
        <w:t>NWPL ROCKIES</w:t>
      </w:r>
    </w:p>
    <w:p>
      <w:pPr>
        <w:pStyle w:val="Normal"/>
        <w:rPr/>
      </w:pPr>
      <w:r>
        <w:rPr/>
        <w:tab/>
        <w:t>Physical</w:t>
      </w:r>
    </w:p>
    <w:p>
      <w:pPr>
        <w:pStyle w:val="Normal"/>
        <w:rPr/>
      </w:pPr>
      <w:r>
        <w:rPr/>
        <w:tab/>
        <w:t>Financial</w:t>
      </w:r>
    </w:p>
    <w:p>
      <w:pPr>
        <w:pStyle w:val="Normal"/>
        <w:rPr/>
      </w:pPr>
      <w:r>
        <w:rPr/>
      </w:r>
    </w:p>
    <w:p>
      <w:pPr>
        <w:pStyle w:val="Normal"/>
        <w:rPr/>
      </w:pPr>
      <w:r>
        <w:rPr/>
        <w:t>SOCAL</w:t>
      </w:r>
    </w:p>
    <w:p>
      <w:pPr>
        <w:pStyle w:val="Normal"/>
        <w:rPr/>
      </w:pPr>
      <w:r>
        <w:rPr/>
        <w:tab/>
        <w:t>Physical</w:t>
      </w:r>
    </w:p>
    <w:p>
      <w:pPr>
        <w:pStyle w:val="Normal"/>
        <w:rPr/>
      </w:pPr>
      <w:r>
        <w:rPr/>
        <w:tab/>
        <w:t>Financial</w:t>
      </w:r>
    </w:p>
    <w:p>
      <w:pPr>
        <w:pStyle w:val="Normal"/>
        <w:rPr/>
      </w:pPr>
      <w:r>
        <w:rPr/>
      </w:r>
    </w:p>
    <w:p>
      <w:pPr>
        <w:pStyle w:val="Normal"/>
        <w:rPr/>
      </w:pPr>
      <w:r>
        <w:rPr/>
        <w:t>EXXON KATY</w:t>
      </w:r>
    </w:p>
    <w:p>
      <w:pPr>
        <w:pStyle w:val="Normal"/>
        <w:rPr/>
      </w:pPr>
      <w:r>
        <w:rPr/>
        <w:tab/>
        <w:t>Physical</w:t>
      </w:r>
    </w:p>
    <w:p>
      <w:pPr>
        <w:pStyle w:val="Normal"/>
        <w:rPr/>
      </w:pPr>
      <w:r>
        <w:rPr/>
      </w:r>
    </w:p>
    <w:p>
      <w:pPr>
        <w:pStyle w:val="Normal"/>
        <w:rPr/>
      </w:pPr>
      <w:r>
        <w:rPr/>
        <w:t>HOUSTON SHIP CHANNEL</w:t>
      </w:r>
    </w:p>
    <w:p>
      <w:pPr>
        <w:pStyle w:val="Normal"/>
        <w:rPr/>
      </w:pPr>
      <w:r>
        <w:rPr/>
        <w:tab/>
        <w:t>Financial</w:t>
      </w:r>
    </w:p>
    <w:p>
      <w:pPr>
        <w:pStyle w:val="Normal"/>
        <w:rPr/>
      </w:pPr>
      <w:r>
        <w:rPr/>
      </w:r>
    </w:p>
    <w:p>
      <w:pPr>
        <w:pStyle w:val="Normal"/>
        <w:rPr/>
      </w:pPr>
      <w:r>
        <w:rPr/>
        <w:t>MICHCON</w:t>
      </w:r>
    </w:p>
    <w:p>
      <w:pPr>
        <w:pStyle w:val="Normal"/>
        <w:rPr/>
      </w:pPr>
      <w:r>
        <w:rPr/>
        <w:tab/>
        <w:t>Physical</w:t>
      </w:r>
    </w:p>
    <w:p>
      <w:pPr>
        <w:pStyle w:val="Normal"/>
        <w:rPr/>
      </w:pPr>
      <w:r>
        <w:rPr/>
        <w:tab/>
        <w:t>Financial</w:t>
      </w:r>
    </w:p>
    <w:p>
      <w:pPr>
        <w:pStyle w:val="Normal"/>
        <w:rPr/>
      </w:pPr>
      <w:r>
        <w:rPr/>
      </w:r>
    </w:p>
    <w:p>
      <w:pPr>
        <w:pStyle w:val="Normal"/>
        <w:rPr/>
      </w:pPr>
      <w:r>
        <w:rPr/>
      </w:r>
    </w:p>
    <w:p>
      <w:pPr>
        <w:pStyle w:val="Normal"/>
        <w:rPr/>
      </w:pPr>
      <w:r>
        <w:rPr/>
      </w:r>
    </w:p>
    <w:p>
      <w:pPr>
        <w:pStyle w:val="Normal"/>
        <w:rPr/>
      </w:pPr>
      <w:r>
        <w:rPr/>
        <w:t>EL PASO PERMIAN</w:t>
      </w:r>
    </w:p>
    <w:p>
      <w:pPr>
        <w:pStyle w:val="Normal"/>
        <w:rPr/>
      </w:pPr>
      <w:r>
        <w:rPr/>
        <w:tab/>
        <w:t>Physical</w:t>
      </w:r>
    </w:p>
    <w:p>
      <w:pPr>
        <w:pStyle w:val="Normal"/>
        <w:rPr/>
      </w:pPr>
      <w:r>
        <w:rPr/>
        <w:tab/>
        <w:t>Financial</w:t>
      </w:r>
    </w:p>
    <w:p>
      <w:pPr>
        <w:pStyle w:val="Normal"/>
        <w:rPr/>
      </w:pPr>
      <w:r>
        <w:rPr/>
      </w:r>
    </w:p>
    <w:p>
      <w:pPr>
        <w:pStyle w:val="Normal"/>
        <w:rPr/>
      </w:pPr>
      <w:r>
        <w:rPr/>
        <w:t>COLUMBIA GULF ONSHORE</w:t>
      </w:r>
    </w:p>
    <w:p>
      <w:pPr>
        <w:pStyle w:val="Normal"/>
        <w:rPr/>
      </w:pPr>
      <w:r>
        <w:rPr/>
        <w:tab/>
        <w:t>Physical</w:t>
      </w:r>
    </w:p>
    <w:p>
      <w:pPr>
        <w:pStyle w:val="Normal"/>
        <w:rPr/>
      </w:pPr>
      <w:r>
        <w:rPr/>
        <w:tab/>
        <w:t>Financial</w:t>
      </w:r>
    </w:p>
    <w:p>
      <w:pPr>
        <w:pStyle w:val="Normal"/>
        <w:rPr>
          <w:b/>
          <w:u w:val="single"/>
        </w:rPr>
      </w:pPr>
      <w:r>
        <w:rPr>
          <w:b/>
          <w:u w:val="single"/>
        </w:rPr>
      </w:r>
    </w:p>
    <w:p>
      <w:pPr>
        <w:pStyle w:val="Normal"/>
        <w:rPr/>
      </w:pPr>
      <w:r>
        <w:rPr>
          <w:b/>
          <w:u w:val="single"/>
        </w:rPr>
        <w:t>INSTRUMENT/PRODUCTS</w:t>
      </w:r>
      <w:r>
        <w:rPr>
          <w:bCs/>
        </w:rPr>
        <w:t xml:space="preserve"> (where applicable)</w:t>
      </w:r>
    </w:p>
    <w:p>
      <w:pPr>
        <w:pStyle w:val="Normal"/>
        <w:rPr>
          <w:bCs/>
        </w:rPr>
      </w:pPr>
      <w:r>
        <w:rPr>
          <w:bCs/>
        </w:rPr>
      </w:r>
    </w:p>
    <w:p>
      <w:pPr>
        <w:pStyle w:val="Normal"/>
        <w:rPr/>
      </w:pPr>
      <w:r>
        <w:rPr/>
        <w:t>Physical</w:t>
      </w:r>
    </w:p>
    <w:p>
      <w:pPr>
        <w:pStyle w:val="Normal"/>
        <w:ind w:firstLine="720" w:end="0"/>
        <w:rPr/>
      </w:pPr>
      <w:r>
        <w:rPr/>
        <w:t>Fixed price physical</w:t>
      </w:r>
    </w:p>
    <w:p>
      <w:pPr>
        <w:pStyle w:val="Normal"/>
        <w:rPr/>
      </w:pPr>
      <w:r>
        <w:rPr/>
        <w:tab/>
        <w:t>Index physical</w:t>
      </w:r>
    </w:p>
    <w:p>
      <w:pPr>
        <w:pStyle w:val="Normal"/>
        <w:rPr/>
      </w:pPr>
      <w:r>
        <w:rPr/>
      </w:r>
    </w:p>
    <w:p>
      <w:pPr>
        <w:pStyle w:val="Normal"/>
        <w:rPr/>
      </w:pPr>
      <w:r>
        <w:rPr/>
        <w:t>Financial</w:t>
      </w:r>
    </w:p>
    <w:p>
      <w:pPr>
        <w:pStyle w:val="Normal"/>
        <w:rPr/>
      </w:pPr>
      <w:r>
        <w:rPr/>
        <w:tab/>
        <w:t>Financial basis</w:t>
      </w:r>
    </w:p>
    <w:p>
      <w:pPr>
        <w:pStyle w:val="Normal"/>
        <w:ind w:firstLine="720" w:end="0"/>
        <w:rPr/>
      </w:pPr>
      <w:r>
        <w:rPr/>
        <w:t>Fixed price financial</w:t>
      </w:r>
    </w:p>
    <w:p>
      <w:pPr>
        <w:pStyle w:val="Normal"/>
        <w:rPr/>
      </w:pPr>
      <w:r>
        <w:rPr/>
        <w:t xml:space="preserve">               </w:t>
      </w:r>
      <w:r>
        <w:rPr/>
        <w:tab/>
        <w:t xml:space="preserve"> -Index</w:t>
      </w:r>
    </w:p>
    <w:p>
      <w:pPr>
        <w:pStyle w:val="Normal"/>
        <w:rPr/>
      </w:pPr>
      <w:r>
        <w:rPr/>
        <w:tab/>
        <w:t xml:space="preserve"> </w:t>
        <w:tab/>
        <w:t xml:space="preserve">-Gas Daily </w:t>
      </w:r>
    </w:p>
    <w:p>
      <w:pPr>
        <w:pStyle w:val="Normal"/>
        <w:rPr/>
      </w:pPr>
      <w:r>
        <w:rPr/>
      </w:r>
    </w:p>
    <w:p>
      <w:pPr>
        <w:pStyle w:val="Normal"/>
        <w:rPr/>
      </w:pPr>
      <w:r>
        <w:rPr>
          <w:b/>
          <w:u w:val="single"/>
        </w:rPr>
        <w:t>TERMS</w:t>
      </w:r>
      <w:r>
        <w:rPr>
          <w:bCs/>
        </w:rPr>
        <w:t xml:space="preserve"> (where applicable)</w:t>
      </w:r>
    </w:p>
    <w:p>
      <w:pPr>
        <w:pStyle w:val="Normal"/>
        <w:rPr>
          <w:b/>
          <w:bCs/>
          <w:u w:val="single"/>
        </w:rPr>
      </w:pPr>
      <w:r>
        <w:rPr>
          <w:b/>
          <w:bCs/>
          <w:u w:val="single"/>
        </w:rPr>
      </w:r>
    </w:p>
    <w:p>
      <w:pPr>
        <w:pStyle w:val="Normal"/>
        <w:rPr/>
      </w:pPr>
      <w:r>
        <w:rPr/>
        <w:t>Physical</w:t>
      </w:r>
    </w:p>
    <w:p>
      <w:pPr>
        <w:pStyle w:val="Normal"/>
        <w:ind w:firstLine="720" w:end="0"/>
        <w:rPr/>
      </w:pPr>
      <w:r>
        <w:rPr/>
        <w:t>-Next day</w:t>
      </w:r>
    </w:p>
    <w:p>
      <w:pPr>
        <w:pStyle w:val="Normal"/>
        <w:ind w:firstLine="720" w:end="0"/>
        <w:rPr/>
      </w:pPr>
      <w:r>
        <w:rPr/>
        <w:t>-Prompt month</w:t>
      </w:r>
    </w:p>
    <w:p>
      <w:pPr>
        <w:pStyle w:val="Normal"/>
        <w:ind w:firstLine="720" w:end="0"/>
        <w:rPr/>
      </w:pPr>
      <w:r>
        <w:rPr/>
        <w:t>-Others terms at our option</w:t>
      </w:r>
    </w:p>
    <w:p>
      <w:pPr>
        <w:pStyle w:val="Normal"/>
        <w:rPr/>
      </w:pPr>
      <w:r>
        <w:rPr/>
      </w:r>
    </w:p>
    <w:p>
      <w:pPr>
        <w:pStyle w:val="Normal"/>
        <w:rPr/>
      </w:pPr>
      <w:r>
        <w:rPr/>
        <w:t>Financial</w:t>
      </w:r>
    </w:p>
    <w:p>
      <w:pPr>
        <w:pStyle w:val="Normal"/>
        <w:rPr/>
      </w:pPr>
      <w:r>
        <w:rPr/>
        <w:tab/>
        <w:t>-Balance month</w:t>
      </w:r>
    </w:p>
    <w:p>
      <w:pPr>
        <w:pStyle w:val="Normal"/>
        <w:rPr/>
      </w:pPr>
      <w:r>
        <w:rPr/>
        <w:tab/>
        <w:t>-Prompt month</w:t>
      </w:r>
    </w:p>
    <w:p>
      <w:pPr>
        <w:pStyle w:val="Normal"/>
        <w:ind w:firstLine="720" w:end="0"/>
        <w:rPr/>
      </w:pPr>
      <w:r>
        <w:rPr/>
        <w:t>-Others terms at our option</w:t>
      </w:r>
    </w:p>
    <w:p>
      <w:pPr>
        <w:pStyle w:val="Normal"/>
        <w:ind w:firstLine="720" w:end="0"/>
        <w:rPr/>
      </w:pPr>
      <w:r>
        <w:rPr/>
      </w:r>
    </w:p>
    <w:p>
      <w:pPr>
        <w:pStyle w:val="Normal"/>
        <w:rPr/>
      </w:pPr>
      <w:r>
        <w:rPr/>
      </w:r>
    </w:p>
    <w:p>
      <w:pPr>
        <w:pStyle w:val="Normal"/>
        <w:rPr/>
      </w:pPr>
      <w:r>
        <w:rPr/>
      </w:r>
    </w:p>
    <w:p>
      <w:pPr>
        <w:pStyle w:val="Normal"/>
        <w:rPr/>
      </w:pPr>
      <w:r>
        <w:rPr/>
      </w:r>
    </w:p>
    <w:p>
      <w:pPr>
        <w:pStyle w:val="BodyText"/>
        <w:rPr/>
      </w:pPr>
      <w:r>
        <w:rPr/>
      </w:r>
    </w:p>
    <w:sectPr>
      <w:headerReference w:type="default" r:id="rId2"/>
      <w:footerReference w:type="default" r:id="rId3"/>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sz w:val="16"/>
      </w:rPr>
    </w:pPr>
    <w:r>
      <w:rPr>
        <w:sz w:val="16"/>
      </w:rPr>
      <w:t>O:legal/tmccull/loi/AltraTS.doc</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bCs/>
      </w:rPr>
    </w:pPr>
    <w:r>
      <w:rPr>
        <w:b/>
        <w:bCs/>
      </w:rPr>
      <w:t>DRAFT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Wingdings" w:hAnsi="Wingdings" w:cs="Wingdings" w:hint="default"/>
        <w:sz w:val="24"/>
      </w:rPr>
    </w:lvl>
  </w:abstractNum>
  <w:abstractNum w:abstractNumId="3">
    <w:lvl w:ilvl="0">
      <w:start w:val="1"/>
      <w:numFmt w:val="bullet"/>
      <w:lvlText w:val=""/>
      <w:lvlJc w:val="start"/>
      <w:pPr>
        <w:tabs>
          <w:tab w:val="num" w:pos="360"/>
        </w:tabs>
        <w:ind w:start="360" w:hanging="360"/>
      </w:pPr>
      <w:rPr>
        <w:rFonts w:ascii="Wingdings" w:hAnsi="Wingdings" w:cs="Wingdings" w:hint="default"/>
        <w:sz w:val="24"/>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jc w:val="center"/>
      <w:outlineLvl w:val="1"/>
    </w:pPr>
    <w:rPr>
      <w:sz w:val="22"/>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bCs/>
      <w:color w:val="FFFFFF"/>
      <w:sz w:val="22"/>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Wingdings" w:hAnsi="Wingdings" w:cs="Wingdings"/>
      <w:sz w:val="24"/>
    </w:rPr>
  </w:style>
  <w:style w:type="character" w:styleId="WW8Num4z0">
    <w:name w:val="WW8Num4z0"/>
    <w:qFormat/>
    <w:rPr>
      <w:rFonts w:ascii="Wingdings" w:hAnsi="Wingdings" w:cs="Wingdings"/>
      <w:sz w:val="24"/>
    </w:rPr>
  </w:style>
  <w:style w:type="character" w:styleId="WW8Num5z0">
    <w:name w:val="WW8Num5z0"/>
    <w:qFormat/>
    <w:rPr>
      <w:rFonts w:ascii="Wingdings" w:hAnsi="Wingdings" w:cs="Wingdings"/>
      <w:sz w:val="24"/>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sz w:val="24"/>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z w:val="22"/>
    </w:rPr>
  </w:style>
  <w:style w:type="paragraph" w:styleId="BodyText3">
    <w:name w:val="Body Text 3"/>
    <w:basedOn w:val="Normal"/>
    <w:qFormat/>
    <w:pPr>
      <w:jc w:val="both"/>
    </w:pPr>
    <w:rPr>
      <w:sz w:val="22"/>
      <w:u w:val="single"/>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2000-06-29T16:05:00Z</dcterms:created>
  <dc:creator>tmccull</dc:creator>
  <dc:description/>
  <dc:language>en-CA</dc:language>
  <cp:lastModifiedBy>Travis McCullough</cp:lastModifiedBy>
  <cp:lastPrinted>2000-06-29T19:35:00Z</cp:lastPrinted>
  <dcterms:modified xsi:type="dcterms:W3CDTF">2000-06-29T22:06:00Z</dcterms:modified>
  <cp:revision>8</cp:revision>
  <dc:subject/>
  <dc:title>ATTACHMENT “A”</dc:title>
</cp:coreProperties>
</file>