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Arial" w:hAnsi="Arial" w:cs="Arial"/>
          <w:b/>
        </w:rPr>
      </w:pPr>
      <w:r>
        <w:rPr>
          <w:rFonts w:cs="Arial" w:ascii="Arial" w:hAnsi="Arial"/>
          <w:b/>
        </w:rPr>
        <w:t xml:space="preserve">Alternatives to LMP Opening Presentation </w:t>
      </w:r>
    </w:p>
    <w:p>
      <w:pPr>
        <w:pStyle w:val="Normal"/>
        <w:numPr>
          <w:ilvl w:val="0"/>
          <w:numId w:val="0"/>
        </w:numPr>
        <w:jc w:val="center"/>
        <w:outlineLvl w:val="0"/>
        <w:rPr>
          <w:rFonts w:ascii="Arial" w:hAnsi="Arial" w:cs="Arial"/>
          <w:b/>
        </w:rPr>
      </w:pPr>
      <w:r>
        <w:rPr>
          <w:rFonts w:cs="Arial" w:ascii="Arial" w:hAnsi="Arial"/>
          <w:b/>
        </w:rPr>
        <w:t xml:space="preserve">Edward G. Cazalet, </w:t>
      </w:r>
    </w:p>
    <w:p>
      <w:pPr>
        <w:pStyle w:val="Normal"/>
        <w:numPr>
          <w:ilvl w:val="0"/>
          <w:numId w:val="0"/>
        </w:numPr>
        <w:jc w:val="center"/>
        <w:outlineLvl w:val="0"/>
        <w:rPr>
          <w:rFonts w:ascii="Arial" w:hAnsi="Arial" w:cs="Arial"/>
          <w:b/>
        </w:rPr>
      </w:pPr>
      <w:r>
        <w:rPr>
          <w:rFonts w:cs="Arial" w:ascii="Arial" w:hAnsi="Arial"/>
          <w:b/>
        </w:rPr>
        <w:t xml:space="preserve">Automated Power Exchange, </w:t>
      </w:r>
    </w:p>
    <w:p>
      <w:pPr>
        <w:pStyle w:val="Normal"/>
        <w:numPr>
          <w:ilvl w:val="0"/>
          <w:numId w:val="0"/>
        </w:numPr>
        <w:jc w:val="center"/>
        <w:outlineLvl w:val="0"/>
        <w:rPr>
          <w:rFonts w:ascii="Arial" w:hAnsi="Arial" w:cs="Arial"/>
          <w:b/>
        </w:rPr>
      </w:pPr>
      <w:r>
        <w:rPr>
          <w:rFonts w:cs="Arial" w:ascii="Arial" w:hAnsi="Arial"/>
          <w:b/>
        </w:rPr>
        <w:t>May 11, 2000</w:t>
      </w:r>
    </w:p>
    <w:p>
      <w:pPr>
        <w:pStyle w:val="Normal"/>
        <w:rPr>
          <w:rFonts w:ascii="Arial" w:hAnsi="Arial" w:cs="Arial"/>
          <w:b/>
        </w:rPr>
      </w:pPr>
      <w:r>
        <w:rPr>
          <w:rFonts w:cs="Arial" w:ascii="Arial" w:hAnsi="Arial"/>
          <w:b/>
        </w:rPr>
      </w:r>
    </w:p>
    <w:p>
      <w:pPr>
        <w:pStyle w:val="Heading1"/>
        <w:ind w:hanging="0" w:start="0"/>
        <w:rPr/>
      </w:pPr>
      <w:r>
        <w:rPr/>
        <w:t>LMP (Locational Marginal Pricing)</w:t>
      </w:r>
    </w:p>
    <w:p>
      <w:pPr>
        <w:pStyle w:val="Normal"/>
        <w:rPr/>
      </w:pPr>
      <w:r>
        <w:rPr/>
        <w:t>LMP is many things, some useful, some not, and some damaging.</w:t>
      </w:r>
    </w:p>
    <w:p>
      <w:pPr>
        <w:pStyle w:val="Normal"/>
        <w:rPr/>
      </w:pPr>
      <w:r>
        <w:rPr/>
        <w:t>One way to deal with LMP is to keep the good in LMP and throw out everything else.</w:t>
      </w:r>
    </w:p>
    <w:p>
      <w:pPr>
        <w:pStyle w:val="Normal"/>
        <w:rPr/>
      </w:pPr>
      <w:r>
        <w:rPr/>
        <w:t>The other way deal with LMP is to replace it with other approaches that include the best of LMP.  Both approaches can work depending on the starting point.</w:t>
      </w:r>
    </w:p>
    <w:p>
      <w:pPr>
        <w:pStyle w:val="Heading1"/>
        <w:ind w:hanging="0" w:start="0"/>
        <w:rPr/>
      </w:pPr>
      <w:r>
        <w:rPr/>
        <w:t>The Alternative: E-Commerce</w:t>
      </w:r>
    </w:p>
    <w:p>
      <w:pPr>
        <w:pStyle w:val="Normal"/>
        <w:rPr/>
      </w:pPr>
      <w:r>
        <w:rPr/>
      </w:r>
    </w:p>
    <w:p>
      <w:pPr>
        <w:pStyle w:val="Normal"/>
        <w:rPr/>
      </w:pPr>
      <w:r>
        <w:rPr/>
        <w:t>Let the market build and continuously innovate to provide the minimum necessary RTO-like functions.  No need for giant new utility-like RTOs.</w:t>
      </w:r>
    </w:p>
    <w:p>
      <w:pPr>
        <w:pStyle w:val="Normal"/>
        <w:rPr/>
      </w:pPr>
      <w:r>
        <w:rPr/>
      </w:r>
    </w:p>
    <w:p>
      <w:pPr>
        <w:pStyle w:val="Heading2"/>
        <w:ind w:hanging="0" w:start="0"/>
        <w:rPr/>
      </w:pPr>
      <w:r>
        <w:rPr/>
        <w:t>ITSC (Interregional Transmission System Coordinator)</w:t>
      </w:r>
    </w:p>
    <w:p>
      <w:pPr>
        <w:pStyle w:val="Normal"/>
        <w:rPr/>
      </w:pPr>
      <w:r>
        <w:rPr/>
        <w:t>ITSC-like entity, as proposed by Dynegy, serves as interconnection wide high-level security coordinator and standards body.  Regional security coordinators under the ITSC provide decentralized security coordination at the regional level.</w:t>
      </w:r>
    </w:p>
    <w:p>
      <w:pPr>
        <w:pStyle w:val="Normal"/>
        <w:rPr/>
      </w:pPr>
      <w:r>
        <w:rPr/>
      </w:r>
    </w:p>
    <w:p>
      <w:pPr>
        <w:pStyle w:val="Heading2"/>
        <w:ind w:hanging="0" w:start="0"/>
        <w:rPr/>
      </w:pPr>
      <w:r>
        <w:rPr/>
        <w:t>ITSC Services</w:t>
      </w:r>
    </w:p>
    <w:p>
      <w:pPr>
        <w:pStyle w:val="Normal"/>
        <w:rPr/>
      </w:pPr>
      <w:r>
        <w:rPr/>
        <w:t>ITSC-like entity causes the provision of information to market participants on the physical conditions on the interconnection such as distribution factors that describe how injections and ejection of power from the network affect flows on flowgates and system losses the current Operating Safe Limit on ITSC approved flowgates.  The ITSC or legislation causes agreements among transmission entities to be negotiated and enforced that require the contracting for transmission products used by parallel flows on facilities because of network flows.</w:t>
      </w:r>
    </w:p>
    <w:p>
      <w:pPr>
        <w:pStyle w:val="Normal"/>
        <w:rPr/>
      </w:pPr>
      <w:r>
        <w:rPr/>
      </w:r>
    </w:p>
    <w:p>
      <w:pPr>
        <w:pStyle w:val="Heading2"/>
        <w:ind w:hanging="0" w:start="0"/>
        <w:rPr/>
      </w:pPr>
      <w:r>
        <w:rPr/>
        <w:t>Forward Markets</w:t>
      </w:r>
    </w:p>
    <w:p>
      <w:pPr>
        <w:pStyle w:val="Normal"/>
        <w:rPr/>
      </w:pPr>
      <w:r>
        <w:rPr/>
        <w:t>Evolve true forward bid/ask and bilateral continuous markets for energy products, transmission products and ancillary services markets.  There is no role for mandatory ex-post pricing.</w:t>
      </w:r>
    </w:p>
    <w:p>
      <w:pPr>
        <w:pStyle w:val="Normal"/>
        <w:rPr/>
      </w:pPr>
      <w:r>
        <w:rPr/>
      </w:r>
    </w:p>
    <w:p>
      <w:pPr>
        <w:pStyle w:val="Normal"/>
        <w:rPr/>
      </w:pPr>
      <w:r>
        <w:rPr/>
        <w:t>True forward markets operate continuously to the 5 or 10-minute interval.  This minimizes the role of any residual market clearing by any central operator and allows the market to efficiently and reliably manage congestion and load following.  Market participants make the unit commitment decisions, not central operators.</w:t>
      </w:r>
    </w:p>
    <w:p>
      <w:pPr>
        <w:pStyle w:val="Normal"/>
        <w:rPr/>
      </w:pPr>
      <w:r>
        <w:rPr/>
      </w:r>
    </w:p>
    <w:p>
      <w:pPr>
        <w:pStyle w:val="Normal"/>
        <w:rPr/>
      </w:pPr>
      <w:r>
        <w:rPr/>
        <w:t>If LMP is used only for the 5-minute market, especially in those markets where it is in place, and if forward markets operate up to this point, then LMP can co-exist with forward markets.  However, mandatory LMP used for day-ahead unit commitment and dispatch interferes with forward markets.</w:t>
      </w:r>
    </w:p>
    <w:p>
      <w:pPr>
        <w:pStyle w:val="Normal"/>
        <w:rPr/>
      </w:pPr>
      <w:r>
        <w:rPr/>
      </w:r>
    </w:p>
    <w:p>
      <w:pPr>
        <w:pStyle w:val="Heading2"/>
        <w:ind w:hanging="0" w:start="0"/>
        <w:rPr/>
      </w:pPr>
      <w:r>
        <w:rPr/>
        <w:t>End-users Participate in the Markets</w:t>
      </w:r>
    </w:p>
    <w:p>
      <w:pPr>
        <w:pStyle w:val="Normal"/>
        <w:numPr>
          <w:ilvl w:val="0"/>
          <w:numId w:val="0"/>
        </w:numPr>
        <w:outlineLvl w:val="0"/>
        <w:rPr/>
      </w:pPr>
      <w:r>
        <w:rPr/>
        <w:t>Real-time forward markets and price information enable true end-use participation in the markets for load balancing and congestion management that will enhance reliability and reduce the likelihood of extreme price volatility.</w:t>
      </w:r>
    </w:p>
    <w:p>
      <w:pPr>
        <w:pStyle w:val="Normal"/>
        <w:rPr/>
      </w:pPr>
      <w:r>
        <w:rPr/>
      </w:r>
    </w:p>
    <w:p>
      <w:pPr>
        <w:pStyle w:val="Heading2"/>
        <w:ind w:hanging="0" w:start="0"/>
        <w:rPr/>
      </w:pPr>
      <w:r>
        <w:rPr/>
        <w:t>Reliability and Markets Functions are Distinct</w:t>
      </w:r>
    </w:p>
    <w:p>
      <w:pPr>
        <w:pStyle w:val="Normal"/>
        <w:rPr/>
      </w:pPr>
      <w:r>
        <w:rPr/>
        <w:t>The ITSC, transmission operators, security coordinators, and any control area operators run no markets.  Any central operator makes cuts only to protect the system after the market is given a full information and the opportunity to solve the problem.</w:t>
      </w:r>
    </w:p>
    <w:p>
      <w:pPr>
        <w:pStyle w:val="Normal"/>
        <w:rPr/>
      </w:pPr>
      <w:r>
        <w:rPr/>
      </w:r>
    </w:p>
    <w:p>
      <w:pPr>
        <w:pStyle w:val="Heading2"/>
        <w:ind w:hanging="0" w:start="0"/>
        <w:rPr/>
      </w:pPr>
      <w:r>
        <w:rPr/>
        <w:t>Tradable Physical Transmission Products</w:t>
      </w:r>
    </w:p>
    <w:p>
      <w:pPr>
        <w:pStyle w:val="Normal"/>
        <w:rPr/>
      </w:pPr>
      <w:r>
        <w:rPr/>
        <w:t xml:space="preserve">Tradable physical transmission products based on ITSC approved flow gates.  Point-to-point physical transmission products will be provided by intermediaries based on the underlying flowgate physical products.  Transmission and energy products are distinct products.  </w:t>
      </w:r>
    </w:p>
    <w:p>
      <w:pPr>
        <w:pStyle w:val="Normal"/>
        <w:rPr/>
      </w:pPr>
      <w:r>
        <w:rPr/>
      </w:r>
    </w:p>
    <w:p>
      <w:pPr>
        <w:pStyle w:val="Heading2"/>
        <w:ind w:hanging="0" w:start="0"/>
        <w:rPr/>
      </w:pPr>
      <w:r>
        <w:rPr/>
        <w:t>Scheduling Coordinators</w:t>
      </w:r>
    </w:p>
    <w:p>
      <w:pPr>
        <w:pStyle w:val="Normal"/>
        <w:rPr/>
      </w:pPr>
      <w:r>
        <w:rPr/>
        <w:t>Scheduling coordinators (or, qualified scheduling entities) provide services to themselves and participants.  Such commercial scheduling coordinator entities are obligated to prepare balanced energy, transmission, and ancillary service schedules.  Such schedules must meet security coordinator reliability requirements.  Scheduling coordinators are obligated to need security requirements and coordinate schedules with other scheduling coordinators.  Security coordinators will have timely and continuous access to all schedule information.  Parties that do not want the burden of being a scheduling coordinator must contract with a scheduling coordinator for such services.  Power exchanges are another scheduling coordinator.</w:t>
      </w:r>
    </w:p>
    <w:p>
      <w:pPr>
        <w:pStyle w:val="Normal"/>
        <w:rPr/>
      </w:pPr>
      <w:r>
        <w:rPr/>
      </w:r>
    </w:p>
    <w:p>
      <w:pPr>
        <w:pStyle w:val="Normal"/>
        <w:rPr/>
      </w:pPr>
      <w:r>
        <w:rPr/>
        <w:t xml:space="preserve">The net physical injection or ejection of energy at each location, the net physical ownership of transmission products (flowgates), and the net ownership of ancillary service capacity products comprise a schedule.  There is no need for the security coordinator or transmission operators or any control areas to know and have to process transaction level information.  </w:t>
      </w:r>
    </w:p>
    <w:p>
      <w:pPr>
        <w:pStyle w:val="Normal"/>
        <w:rPr/>
      </w:pPr>
      <w:r>
        <w:rPr/>
      </w:r>
    </w:p>
    <w:p>
      <w:pPr>
        <w:pStyle w:val="Heading2"/>
        <w:ind w:hanging="0" w:start="0"/>
        <w:rPr/>
      </w:pPr>
      <w:r>
        <w:rPr/>
        <w:t>Continuous Scheduling</w:t>
      </w:r>
    </w:p>
    <w:p>
      <w:pPr>
        <w:pStyle w:val="Normal"/>
        <w:rPr/>
      </w:pPr>
      <w:r>
        <w:rPr/>
        <w:t>It is impossible to sort out timelines for scheduling multiple products among multiple regions.  Therefore, each scheduling coordinator is responsible for confirming its physical transactions with all other scheduling coordinator and for making this information available on a net scheduled basis to the security coordinators, transmission operators and any central operators.  Information on forecasts of aggregate loads and all net aggregate schedules shall be made available to all market participants, continuously.</w:t>
      </w:r>
    </w:p>
    <w:p>
      <w:pPr>
        <w:pStyle w:val="Normal"/>
        <w:rPr/>
      </w:pPr>
      <w:r>
        <w:rPr/>
      </w:r>
    </w:p>
    <w:p>
      <w:pPr>
        <w:pStyle w:val="Heading2"/>
        <w:ind w:hanging="0" w:start="0"/>
        <w:rPr/>
      </w:pPr>
      <w:r>
        <w:rPr/>
        <w:t>Physical Trading Hubs</w:t>
      </w:r>
    </w:p>
    <w:p>
      <w:pPr>
        <w:pStyle w:val="Normal"/>
        <w:rPr/>
      </w:pPr>
      <w:r>
        <w:rPr/>
        <w:t>The market will evolve physical hubs that can source and sink transactions with physical transmission products available to and from the hubs to any location.</w:t>
      </w:r>
    </w:p>
    <w:p>
      <w:pPr>
        <w:pStyle w:val="Normal"/>
        <w:rPr/>
      </w:pPr>
      <w:r>
        <w:rPr/>
      </w:r>
    </w:p>
    <w:p>
      <w:pPr>
        <w:pStyle w:val="Heading2"/>
        <w:ind w:hanging="0" w:start="0"/>
        <w:rPr/>
      </w:pPr>
      <w:r>
        <w:rPr/>
        <w:t>No Zones</w:t>
      </w:r>
    </w:p>
    <w:p>
      <w:pPr>
        <w:pStyle w:val="Normal"/>
        <w:rPr/>
      </w:pPr>
      <w:r>
        <w:rPr/>
        <w:t>There is no need for arbitrary zones because point-to-point transmission products are available.  Locational prices will be different from the hub prices, but participants will have access to physical transmission products and forward markets for these to provide forward</w:t>
      </w:r>
    </w:p>
    <w:p>
      <w:pPr>
        <w:pStyle w:val="Normal"/>
        <w:rPr/>
      </w:pPr>
      <w:r>
        <w:rPr/>
      </w:r>
    </w:p>
    <w:p>
      <w:pPr>
        <w:pStyle w:val="Heading2"/>
        <w:ind w:hanging="0" w:start="0"/>
        <w:rPr/>
      </w:pPr>
      <w:r>
        <w:rPr/>
        <w:t>Transmission Access Fees</w:t>
      </w:r>
    </w:p>
    <w:p>
      <w:pPr>
        <w:pStyle w:val="Normal"/>
        <w:rPr/>
      </w:pPr>
      <w:r>
        <w:rPr/>
        <w:t>Transmission remains regulated with transmission access fees set to recover TO revenue requirements less net revenues from sale of transmission products by the by the TO.  Any difference in revenue vs. cost is carried forward in a balancing account that is factored into adjustments to future transmission access fees or is absorbed by the TOs.  When building new transmission, the sale of additional amounts of long-term transmission products should be used to offset costs of construction and operation.</w:t>
      </w:r>
    </w:p>
    <w:p>
      <w:pPr>
        <w:pStyle w:val="Normal"/>
        <w:rPr/>
      </w:pPr>
      <w:r>
        <w:rPr/>
        <w:t>Institutions</w:t>
      </w:r>
    </w:p>
    <w:p>
      <w:pPr>
        <w:pStyle w:val="Heading2"/>
        <w:ind w:hanging="0" w:start="0"/>
        <w:rPr/>
      </w:pPr>
      <w:r>
        <w:rPr/>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89535"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895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424.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2000-05-17T09:28:00Z</dcterms:created>
  <dc:creator>Edward G. Cazalet</dc:creator>
  <dc:description/>
  <dc:language>en-CA</dc:language>
  <cp:lastModifiedBy>Edward G. Cazalet</cp:lastModifiedBy>
  <dcterms:modified xsi:type="dcterms:W3CDTF">2000-05-17T09:28:00Z</dcterms:modified>
  <cp:revision>2</cp:revision>
  <dc:subject/>
  <dc:title>Nov second week, Corp structure , congestion management</dc:title>
</cp:coreProperties>
</file>