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widowControl/>
        <w:bidi w:val="0"/>
        <w:spacing w:lineRule="atLeast" w:line="600" w:before="140" w:after="540"/>
        <w:ind w:hanging="0" w:start="840" w:end="0"/>
        <w:rPr/>
      </w:pPr>
      <w:r>
        <w:rPr/>
        <w:t>Memorandum</w:t>
      </w:r>
    </w:p>
    <w:p>
      <w:pPr>
        <w:pStyle w:val="MessageHeaderFirst"/>
        <w:keepLines w:val="false"/>
        <w:rPr/>
      </w:pPr>
      <w:r>
        <w:rPr>
          <w:rStyle w:val="MessageHeaderLabel"/>
        </w:rPr>
        <w:t>To:</w:t>
      </w:r>
      <w:r>
        <w:rPr/>
        <w:tab/>
        <w:t>Gerald Nemec</w:t>
      </w:r>
    </w:p>
    <w:p>
      <w:pPr>
        <w:pStyle w:val="MessageHeader"/>
        <w:keepLines w:val="false"/>
        <w:rPr/>
      </w:pPr>
      <w:r>
        <w:rPr>
          <w:rStyle w:val="MessageHeaderLabel"/>
        </w:rPr>
        <w:t>From:</w:t>
      </w:r>
      <w:r>
        <w:rPr/>
        <w:tab/>
        <w:t>Craig R. Carver</w:t>
      </w:r>
    </w:p>
    <w:p>
      <w:pPr>
        <w:pStyle w:val="MessageHeader"/>
        <w:keepLines w:val="false"/>
        <w:rPr/>
      </w:pPr>
      <w:r>
        <w:rPr>
          <w:rStyle w:val="MessageHeaderLabel"/>
        </w:rPr>
        <w:t>Date:</w:t>
      </w:r>
      <w:r>
        <w:rPr/>
        <w:tab/>
      </w:r>
      <w:r>
        <w:rPr/>
        <w:fldChar w:fldCharType="begin"/>
      </w:r>
      <w:r>
        <w:rPr/>
        <w:instrText xml:space="preserve"> CREATEDATE \@"MMMM\ d', 'yyyy" </w:instrText>
      </w:r>
      <w:r>
        <w:rPr/>
        <w:fldChar w:fldCharType="separate"/>
      </w:r>
      <w:r>
        <w:rPr/>
        <w:t>September 28, 2000</w:t>
      </w:r>
      <w:r>
        <w:rPr/>
        <w:fldChar w:fldCharType="end"/>
      </w:r>
    </w:p>
    <w:p>
      <w:pPr>
        <w:pStyle w:val="MessageHeaderLast"/>
        <w:keepLines w:val="false"/>
        <w:rPr/>
      </w:pPr>
      <w:r>
        <w:rPr>
          <w:rStyle w:val="MessageHeaderLabel"/>
        </w:rPr>
        <w:t>Re:</w:t>
      </w:r>
      <w:r>
        <w:rPr/>
        <w:tab/>
        <w:t>Response options: Wildhorse letter date September 27, 2000</w:t>
      </w:r>
    </w:p>
    <w:p>
      <w:pPr>
        <w:pStyle w:val="Heading1"/>
        <w:ind w:hanging="0" w:start="0"/>
        <w:rPr/>
      </w:pPr>
      <w:r>
        <w:rPr/>
        <w:t>Background.</w:t>
      </w:r>
    </w:p>
    <w:p>
      <w:pPr>
        <w:pStyle w:val="Normal"/>
        <w:rPr/>
      </w:pPr>
      <w:r>
        <w:rPr/>
      </w:r>
    </w:p>
    <w:p>
      <w:pPr>
        <w:pStyle w:val="Normal"/>
        <w:rPr/>
      </w:pPr>
      <w:r>
        <w:rPr/>
        <w:t>By letter dated September 27, 2000, Wildhorse Energy Partners, LLC, responded to a letter from Crescendo nominating Crescendo’s entire volume of production from the San Arroyo Area for delivery to Northwest Pipeline.  In its letter Wildhorse stated that it would deliver Crescendo’s volumes to Questar, but not to Northwest.</w:t>
      </w:r>
    </w:p>
    <w:p>
      <w:pPr>
        <w:pStyle w:val="Normal"/>
        <w:rPr/>
      </w:pPr>
      <w:r>
        <w:rPr/>
      </w:r>
    </w:p>
    <w:p>
      <w:pPr>
        <w:pStyle w:val="Normal"/>
        <w:rPr/>
      </w:pPr>
      <w:r>
        <w:rPr/>
        <w:t>The timing of Wildhorse’s letter puts Crescendo in a difficult situation.  Wildhorse has flatly rejected Crescendo’s Northwest nominations.  Accordingly, if Crescendo is to deliver its October production anywhere, it will be required to reach a transportation agreement with Quester, and nominate its October volumes for delivery by Wildhorse to Questar, before October 1.  While Crescendo is left with no choice but to follow this procedure, it wants to take such measures as are appropriate to reserve all of its rights to hold Wildhorse responsible for revenue deficiencies occasioned by Wildhorse’s refusal to deliver Crescendo’s gas to the Northwest interconnect.</w:t>
      </w:r>
    </w:p>
    <w:p>
      <w:pPr>
        <w:pStyle w:val="Normal"/>
        <w:rPr/>
      </w:pPr>
      <w:r>
        <w:rPr/>
      </w:r>
    </w:p>
    <w:p>
      <w:pPr>
        <w:pStyle w:val="Normal"/>
        <w:rPr/>
      </w:pPr>
      <w:r>
        <w:rPr/>
        <w:t>This memo summarizes the spectrum of reply options available to Crescendo.</w:t>
      </w:r>
    </w:p>
    <w:p>
      <w:pPr>
        <w:pStyle w:val="Heading1"/>
        <w:ind w:hanging="0" w:start="0"/>
        <w:rPr/>
      </w:pPr>
      <w:r>
        <w:rPr/>
        <w:t>Reservation of rights letter.</w:t>
      </w:r>
    </w:p>
    <w:p>
      <w:pPr>
        <w:pStyle w:val="Heading2"/>
        <w:ind w:hanging="0" w:start="0"/>
        <w:rPr/>
      </w:pPr>
      <w:r>
        <w:rPr/>
        <w:t>Letter without explicit threat of litigation.</w:t>
      </w:r>
    </w:p>
    <w:p>
      <w:pPr>
        <w:pStyle w:val="Normal"/>
        <w:rPr/>
      </w:pPr>
      <w:r>
        <w:rPr/>
      </w:r>
    </w:p>
    <w:p>
      <w:pPr>
        <w:pStyle w:val="Normal"/>
        <w:rPr/>
      </w:pPr>
      <w:r>
        <w:rPr/>
        <w:t>Assuming that Crescendo chooses not to acquiesce in Wildhorse’s interpretation of the Gathering Agreement contract, the minimum response that must be provided is a letter that reserves all of Crescendo’s rights, and rejects Wildhorse’s contractual interpretations.  Failure to provide such a letter at the time that Crescendo provides its Questar nomination letter runs the risk of setting up a “course of performance,” waiver or other defense to any claim that Crescendo may later choose to pursue.</w:t>
      </w:r>
    </w:p>
    <w:p>
      <w:pPr>
        <w:pStyle w:val="Normal"/>
        <w:rPr/>
      </w:pPr>
      <w:r>
        <w:rPr/>
      </w:r>
    </w:p>
    <w:p>
      <w:pPr>
        <w:pStyle w:val="Normal"/>
        <w:rPr/>
      </w:pPr>
      <w:r>
        <w:rPr/>
        <w:t>A draft of such a letter is attached to this memo.</w:t>
      </w:r>
    </w:p>
    <w:p>
      <w:pPr>
        <w:pStyle w:val="Heading2"/>
        <w:ind w:hanging="0" w:start="0"/>
        <w:rPr/>
      </w:pPr>
      <w:r>
        <w:rPr/>
        <w:t>Letter with express threat of litigation.</w:t>
      </w:r>
    </w:p>
    <w:p>
      <w:pPr>
        <w:pStyle w:val="Normal"/>
        <w:rPr/>
      </w:pPr>
      <w:r>
        <w:rPr/>
      </w:r>
    </w:p>
    <w:p>
      <w:pPr>
        <w:pStyle w:val="Normal"/>
        <w:rPr/>
      </w:pPr>
      <w:r>
        <w:rPr/>
        <w:t>One variant of the option outlined above is to include within the reply letter an explicit deadline, by which time Wildhorse must remedy its breach or otherwise reach a negotiated settlement with Crescendo.  The deadline threat would notify Wildhorse that its failure to reach accord with Crescendo on this issue by the deadline would cause Crescendo to initiate litigation to enforce its contractual rights.</w:t>
      </w:r>
    </w:p>
    <w:p>
      <w:pPr>
        <w:pStyle w:val="Normal"/>
        <w:rPr/>
      </w:pPr>
      <w:r>
        <w:rPr/>
      </w:r>
    </w:p>
    <w:p>
      <w:pPr>
        <w:pStyle w:val="Normal"/>
        <w:rPr/>
      </w:pPr>
      <w:r>
        <w:rPr/>
        <w:t>The potential value of such an approach would be to focus Wildhorse’s attention on the issues presented.  That would (hopefully) cause Wildhorse to consult its own or outside counsel for a review of the merits of its positions.  That, in turn, might cause Wildhorse to back off on its position, and negotiate an acceptable resolution to this dispute.</w:t>
      </w:r>
    </w:p>
    <w:p>
      <w:pPr>
        <w:pStyle w:val="Normal"/>
        <w:rPr/>
      </w:pPr>
      <w:r>
        <w:rPr/>
      </w:r>
    </w:p>
    <w:p>
      <w:pPr>
        <w:pStyle w:val="Normal"/>
        <w:rPr/>
      </w:pPr>
      <w:r>
        <w:rPr/>
        <w:t>The risk of such an approach is that Wildhorse may very well not respond constructively.  That could be due to a stubborn insistence on the validity of its position, inertia, management confusion engendered by the current efforts of Kinder Morgan to sell its interest in the entity to Tom Brown, Inc., or other factors.  Once the threat has been made, Crescendo would have to be willing to follow through on it, or be left in a much worse position than it would have been in had the threat never been communicated.</w:t>
      </w:r>
    </w:p>
    <w:p>
      <w:pPr>
        <w:pStyle w:val="Normal"/>
        <w:rPr/>
      </w:pPr>
      <w:r>
        <w:rPr/>
      </w:r>
    </w:p>
    <w:p>
      <w:pPr>
        <w:pStyle w:val="Heading1"/>
        <w:ind w:hanging="0" w:start="0"/>
        <w:rPr/>
      </w:pPr>
      <w:r>
        <w:rPr/>
        <w:t>Litigation options.</w:t>
      </w:r>
    </w:p>
    <w:p>
      <w:pPr>
        <w:pStyle w:val="Heading2"/>
        <w:ind w:hanging="0" w:start="0"/>
        <w:rPr/>
      </w:pPr>
      <w:r>
        <w:rPr/>
        <w:t>Declaratory judgment/damage lawsuit.</w:t>
      </w:r>
    </w:p>
    <w:p>
      <w:pPr>
        <w:pStyle w:val="Normal"/>
        <w:rPr/>
      </w:pPr>
      <w:r>
        <w:rPr/>
      </w:r>
    </w:p>
    <w:p>
      <w:pPr>
        <w:pStyle w:val="Normal"/>
        <w:rPr/>
      </w:pPr>
      <w:r>
        <w:rPr/>
        <w:t>Crescendo would be well within its rights to treat Wildhorse’s September 27 letter as both a present and an anticipatory breach of its gas gathering contract with Crescendo.  That presents Crescendo with the option to dispense with further formalities.  Instead of reserving its rights, Crescendo could proceed to enforce them.</w:t>
      </w:r>
    </w:p>
    <w:p>
      <w:pPr>
        <w:pStyle w:val="Normal"/>
        <w:rPr/>
      </w:pPr>
      <w:r>
        <w:rPr/>
      </w:r>
    </w:p>
    <w:p>
      <w:pPr>
        <w:pStyle w:val="Normal"/>
        <w:rPr/>
      </w:pPr>
      <w:r>
        <w:rPr/>
        <w:t>A relatively simple lawsuit could be drafted within a matter of a day or two, and filed within a day after that.  Such a suit would outline the dispute (as framed by the Crescendo and Wildhorse letters), seek a declaratory judgment as to the proper meaning of the gas gathering contract, and also seek damages for all revenues lost as a consequence of Wildhorse’s refusal to deliver Crescendo’s gas to Northwest.</w:t>
      </w:r>
    </w:p>
    <w:p>
      <w:pPr>
        <w:pStyle w:val="Normal"/>
        <w:rPr/>
      </w:pPr>
      <w:r>
        <w:rPr/>
      </w:r>
    </w:p>
    <w:p>
      <w:pPr>
        <w:pStyle w:val="Normal"/>
        <w:rPr/>
      </w:pPr>
      <w:r>
        <w:rPr/>
        <w:t>While the suit would be meritorious on its own, one goal of such a suit would be to precipitate a more immediate and more reasonable response from Wildhorse.  The idea would be to make it clear that Crescendo will aggressively enforce its rights, thereby making it less likely that Wildhorse will in the future try to take advantage of Crescendo by ignoring or distorting its contractual obligations.</w:t>
      </w:r>
    </w:p>
    <w:p>
      <w:pPr>
        <w:pStyle w:val="Normal"/>
        <w:rPr/>
      </w:pPr>
      <w:r>
        <w:rPr/>
      </w:r>
    </w:p>
    <w:p>
      <w:pPr>
        <w:pStyle w:val="Normal"/>
        <w:rPr/>
      </w:pPr>
      <w:r>
        <w:rPr/>
        <w:t xml:space="preserve">The risk associated with such a suit is that it could make the situation more intractable and difficult to resolve.  It also might be less effective, and more risky, than a top-management to top-management meeting between Enron and Kinder Morgan/Tom Brown, Inc.  </w:t>
      </w:r>
    </w:p>
    <w:p>
      <w:pPr>
        <w:pStyle w:val="Normal"/>
        <w:rPr/>
      </w:pPr>
      <w:r>
        <w:rPr/>
      </w:r>
    </w:p>
    <w:p>
      <w:pPr>
        <w:pStyle w:val="Normal"/>
        <w:rPr/>
      </w:pPr>
      <w:r>
        <w:rPr/>
        <w:t>Another risk is that the lawsuit might be perceived as something which relieves Wildhorse from any need to reach a prompt resolution.  Both federal and state procedural rules in Colorado provide for a period of approximately 90 days before document disclosures are due.  Those disclosures are then usually followed by a period (approximately 3-6 months) for discovery to take place, at the end of which a pre-trial order is drafted and the case is set for trial.  Trial settings are often approximately 1 – 2 years after date of filing.  Without any near-term deadlines in front of it, Wildhorse might not be in any hurry to resolve the issues.  The major motivating factor toward prompt resolution would be the costs of pursuing and defending the suit.  A case such as this could easily cost each side from $100,000 - 300,000 in attorneys fees, much of which would be incurred during the discovery phase of the suit.</w:t>
      </w:r>
    </w:p>
    <w:p>
      <w:pPr>
        <w:pStyle w:val="Normal"/>
        <w:rPr/>
      </w:pPr>
      <w:r>
        <w:rPr/>
      </w:r>
    </w:p>
    <w:p>
      <w:pPr>
        <w:pStyle w:val="Heading2"/>
        <w:ind w:hanging="0" w:start="0"/>
        <w:rPr/>
      </w:pPr>
      <w:r>
        <w:rPr/>
        <w:t>Injunctive Relief lawsuit.</w:t>
      </w:r>
    </w:p>
    <w:p>
      <w:pPr>
        <w:pStyle w:val="Normal"/>
        <w:rPr/>
      </w:pPr>
      <w:r>
        <w:rPr/>
      </w:r>
    </w:p>
    <w:p>
      <w:pPr>
        <w:pStyle w:val="Normal"/>
        <w:rPr/>
      </w:pPr>
      <w:r>
        <w:rPr/>
        <w:t>The final, and most aggressive, option available to Crescendo is to bring a lawsuit that includes not only the claims outlined above, but also seeks preliminary injunctive relief.  In seeking such relief Crescendo would be shouldering an additional burden.  It would have to prove that failure of Wildhorse to deliver gas to Northwest was not only a breach of contract, it was also having the effect of irreparably damaging Crescendo.  Plausible claims can be constructed to meet this increased burden, but there would remain a distinct possibility that efforts to obtain a preliminary injunction would prove unsuccessful.</w:t>
      </w:r>
    </w:p>
    <w:p>
      <w:pPr>
        <w:pStyle w:val="Normal"/>
        <w:rPr/>
      </w:pPr>
      <w:r>
        <w:rPr/>
      </w:r>
    </w:p>
    <w:p>
      <w:pPr>
        <w:pStyle w:val="Normal"/>
        <w:rPr/>
      </w:pPr>
      <w:r>
        <w:rPr/>
        <w:t>Despite the increased burden and risk of such a suit, it still might prove useful to bring it.  The major value of such an approach is that it would present Wildhorse with a near-term hearing date (usually within 20 days of filing), by which it would have to mount a defense, or reach a settlement.  Assuming that Wildhorse didn’t have the stomach to pursue its rather dubious contract theories, the existence of a hearing date might cause it to negotiate promptly an acceptable settlement.  Alternatively, the claim itself is quite strong on its merits, so Crescendo would have a real chance of prevailing on its effort to obtain a preliminary injunction.  If it did that, then it would be in the driver’s seat when it came to settlement prospects.</w:t>
      </w:r>
    </w:p>
    <w:p>
      <w:pPr>
        <w:pStyle w:val="Heading1"/>
        <w:ind w:hanging="0" w:start="0"/>
        <w:rPr/>
      </w:pPr>
      <w:r>
        <w:rPr/>
        <w:t>Conclusion.</w:t>
      </w:r>
    </w:p>
    <w:p>
      <w:pPr>
        <w:pStyle w:val="Normal"/>
        <w:rPr/>
      </w:pPr>
      <w:r>
        <w:rPr/>
      </w:r>
    </w:p>
    <w:p>
      <w:pPr>
        <w:pStyle w:val="Normal"/>
        <w:rPr/>
      </w:pPr>
      <w:r>
        <w:rPr/>
        <w:t>The issue that Crescendo must grapple with is which of these alternatives would have the greater likelihood of causing Wildhorse to perform its contractual obligations.  Resolving this issue involves the need to evaluate the factors that will motivate – both positively and negatively – the other side.  A portion of such evaluation involves the need to assess the personalities of the decision-makers at Wildhorse.  As we know, the identities of those decisionmakers are in a state of flux, due to the pending sale of the Kinder Morgan interest to Tom Brown, Inc.</w:t>
      </w:r>
    </w:p>
    <w:p>
      <w:pPr>
        <w:pStyle w:val="Normal"/>
        <w:rPr/>
      </w:pPr>
      <w:r>
        <w:rPr/>
      </w:r>
    </w:p>
    <w:p>
      <w:pPr>
        <w:pStyle w:val="Normal"/>
        <w:rPr/>
      </w:pPr>
      <w:r>
        <w:rPr/>
        <w:t>Since the long-term reasonableness (or stubbornness) of Wildhorse won’t be known until its ownership situation is clarified, it probably makes the most sense to leave open as many of Crescendo’s options as possible.  The best way to do that is to send a simple “reservation of rights” letter immediately, followed by intensive efforts on the part of the business personnel to see if the new management at Wildhorse will take a reasonable approach.  If so, then these issues will be resolvable.  If not, then there will still be ample time to commence litigation if that looks like it is a useful option at the time.</w:t>
      </w:r>
    </w:p>
    <w:sectPr>
      <w:headerReference w:type="default" r:id="rId2"/>
      <w:headerReference w:type="first" r:id="rId3"/>
      <w:footerReference w:type="default" r:id="rId4"/>
      <w:footerReference w:type="first" r:id="rId5"/>
      <w:type w:val="nextPage"/>
      <w:pgSz w:w="12240" w:h="15840"/>
      <w:pgMar w:left="1800" w:right="1800" w:gutter="0" w:header="960" w:top="1685" w:footer="1440" w:bottom="14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Impact">
    <w:charset w:val="00" w:characterSet="windows-1252"/>
    <w:family w:val="swiss"/>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420" w:after="0"/>
      <w:ind w:hanging="0" w:start="-1080" w:end="-1080"/>
      <w:rPr/>
    </w:pPr>
    <w:r>
      <w:rPr/>
      <w:tab/>
      <w:tab/>
    </w:r>
    <w:r>
      <w:rPr/>
      <w:fldChar w:fldCharType="begin"/>
    </w:r>
    <w:r>
      <w:rPr/>
      <w:instrText xml:space="preserve"> PAGE \* ARABIC </w:instrText>
    </w:r>
    <w:r>
      <w:rPr/>
      <w:fldChar w:fldCharType="separate"/>
    </w:r>
    <w:r>
      <w:rPr/>
      <w:t>4</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420" w:after="0"/>
      <w:jc w:val="center"/>
      <w:rPr/>
    </w:pPr>
    <w:r>
      <w:rPr>
        <w:rStyle w:val="PageNumber"/>
        <w:b/>
      </w:rPr>
      <w:fldChar w:fldCharType="begin"/>
    </w:r>
    <w:r>
      <w:rPr>
        <w:rStyle w:val="PageNumber"/>
        <w:b/>
      </w:rPr>
      <w:instrText xml:space="preserve"> PAGE </w:instrText>
    </w:r>
    <w:r>
      <w:rPr>
        <w:rStyle w:val="PageNumber"/>
        <w:b/>
      </w:rPr>
      <w:fldChar w:fldCharType="separate"/>
    </w:r>
    <w:r>
      <w:rPr>
        <w:rStyle w:val="PageNumber"/>
        <w:b/>
      </w:rPr>
      <w:t>1</w:t>
    </w:r>
    <w:r>
      <w:rPr>
        <w:rStyle w:val="PageNumber"/>
        <w:b/>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rPr>
      <w:t>CONFIDENTIAL – ATTORNEY/CLIENT COMMUNICATION</w:t>
    </w:r>
    <w:r>
      <w:rPr/>
      <w:tab/>
      <w:t>September 28, 2000</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CONFIDENTIAL – ATTORNEY/CLIENT COMMUNICATION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360" w:hanging="360"/>
      </w:pPr>
    </w:lvl>
    <w:lvl w:ilvl="1">
      <w:start w:val="1"/>
      <w:pStyle w:val="Heading2"/>
      <w:numFmt w:val="upperLetter"/>
      <w:lvlText w:val="%2."/>
      <w:lvlJc w:val="start"/>
      <w:pPr>
        <w:tabs>
          <w:tab w:val="num" w:pos="720"/>
        </w:tabs>
        <w:ind w:start="720" w:hanging="360"/>
      </w:pPr>
    </w:lvl>
    <w:lvl w:ilvl="2">
      <w:start w:val="1"/>
      <w:pStyle w:val="Heading3"/>
      <w:numFmt w:val="decimal"/>
      <w:lvlText w:val="%3)"/>
      <w:lvlJc w:val="start"/>
      <w:pPr>
        <w:tabs>
          <w:tab w:val="num" w:pos="1080"/>
        </w:tabs>
        <w:ind w:start="1080" w:hanging="360"/>
      </w:pPr>
    </w:lvl>
    <w:lvl w:ilvl="3">
      <w:start w:val="1"/>
      <w:pStyle w:val="Heading4"/>
      <w:numFmt w:val="lowerLetter"/>
      <w:lvlText w:val="(%4)"/>
      <w:lvlJc w:val="start"/>
      <w:pPr>
        <w:tabs>
          <w:tab w:val="num" w:pos="1440"/>
        </w:tabs>
        <w:ind w:start="1440" w:hanging="360"/>
      </w:pPr>
    </w:lvl>
    <w:lvl w:ilvl="4">
      <w:start w:val="1"/>
      <w:pStyle w:val="Heading5"/>
      <w:numFmt w:val="lowerRoman"/>
      <w:lvlText w:val="(%5)"/>
      <w:lvlJc w:val="start"/>
      <w:pPr>
        <w:tabs>
          <w:tab w:val="num" w:pos="2160"/>
        </w:tabs>
        <w:ind w:start="1800" w:hanging="360"/>
      </w:pPr>
    </w:lvl>
    <w:lvl w:ilvl="5">
      <w:start w:val="1"/>
      <w:pStyle w:val="Heading6"/>
      <w:numFmt w:val="lowerLetter"/>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36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HeadingBase"/>
    <w:next w:val="BodyText"/>
    <w:qFormat/>
    <w:pPr>
      <w:keepNext w:val="false"/>
      <w:keepLines w:val="false"/>
      <w:numPr>
        <w:ilvl w:val="0"/>
        <w:numId w:val="1"/>
      </w:numPr>
      <w:spacing w:lineRule="auto" w:line="240" w:before="240" w:after="0"/>
      <w:outlineLvl w:val="0"/>
    </w:pPr>
    <w:rPr>
      <w:rFonts w:ascii="Times New Roman" w:hAnsi="Times New Roman" w:cs="Times New Roman"/>
      <w:b/>
      <w:sz w:val="28"/>
    </w:rPr>
  </w:style>
  <w:style w:type="paragraph" w:styleId="Heading2">
    <w:name w:val="heading 2"/>
    <w:basedOn w:val="HeadingBase"/>
    <w:next w:val="BodyText"/>
    <w:qFormat/>
    <w:pPr>
      <w:keepNext w:val="false"/>
      <w:keepLines w:val="false"/>
      <w:numPr>
        <w:ilvl w:val="1"/>
        <w:numId w:val="1"/>
      </w:numPr>
      <w:spacing w:lineRule="auto" w:line="240" w:before="240" w:after="0"/>
      <w:outlineLvl w:val="1"/>
    </w:pPr>
    <w:rPr>
      <w:rFonts w:ascii="Times New Roman" w:hAnsi="Times New Roman" w:cs="Times New Roman"/>
      <w:b/>
      <w:spacing w:val="0"/>
      <w:sz w:val="24"/>
    </w:rPr>
  </w:style>
  <w:style w:type="paragraph" w:styleId="Heading3">
    <w:name w:val="heading 3"/>
    <w:basedOn w:val="HeadingBase"/>
    <w:next w:val="BodyText"/>
    <w:qFormat/>
    <w:pPr>
      <w:keepNext w:val="false"/>
      <w:keepLines w:val="false"/>
      <w:widowControl w:val="false"/>
      <w:numPr>
        <w:ilvl w:val="2"/>
        <w:numId w:val="1"/>
      </w:numPr>
      <w:spacing w:lineRule="auto" w:line="240" w:before="240" w:after="0"/>
      <w:outlineLvl w:val="2"/>
    </w:pPr>
    <w:rPr>
      <w:rFonts w:ascii="Times New Roman" w:hAnsi="Times New Roman" w:cs="Times New Roman"/>
      <w:spacing w:val="0"/>
      <w:sz w:val="24"/>
    </w:rPr>
  </w:style>
  <w:style w:type="paragraph" w:styleId="Heading4">
    <w:name w:val="heading 4"/>
    <w:basedOn w:val="HeadingBase"/>
    <w:next w:val="BodyText"/>
    <w:qFormat/>
    <w:pPr>
      <w:keepNext w:val="false"/>
      <w:keepLines w:val="false"/>
      <w:numPr>
        <w:ilvl w:val="3"/>
        <w:numId w:val="1"/>
      </w:numPr>
      <w:spacing w:lineRule="auto" w:line="240" w:before="240" w:after="0"/>
      <w:outlineLvl w:val="3"/>
    </w:pPr>
    <w:rPr>
      <w:rFonts w:ascii="Times New Roman" w:hAnsi="Times New Roman" w:cs="Times New Roman"/>
      <w:spacing w:val="0"/>
      <w:sz w:val="24"/>
    </w:rPr>
  </w:style>
  <w:style w:type="paragraph" w:styleId="Heading5">
    <w:name w:val="heading 5"/>
    <w:basedOn w:val="HeadingBase"/>
    <w:next w:val="BodyText"/>
    <w:qFormat/>
    <w:pPr>
      <w:keepNext w:val="false"/>
      <w:keepLines w:val="false"/>
      <w:numPr>
        <w:ilvl w:val="4"/>
        <w:numId w:val="1"/>
      </w:numPr>
      <w:spacing w:lineRule="auto" w:line="240" w:before="240" w:after="0"/>
      <w:outlineLvl w:val="4"/>
    </w:pPr>
    <w:rPr>
      <w:rFonts w:ascii="Times New Roman" w:hAnsi="Times New Roman" w:cs="Times New Roman"/>
      <w:spacing w:val="0"/>
      <w:sz w:val="24"/>
    </w:rPr>
  </w:style>
  <w:style w:type="paragraph" w:styleId="Heading6">
    <w:name w:val="heading 6"/>
    <w:basedOn w:val="HeadingBase"/>
    <w:next w:val="BodyText"/>
    <w:qFormat/>
    <w:pPr>
      <w:keepNext w:val="false"/>
      <w:keepLines w:val="false"/>
      <w:numPr>
        <w:ilvl w:val="5"/>
        <w:numId w:val="1"/>
      </w:numPr>
      <w:spacing w:lineRule="auto" w:line="240" w:before="240" w:after="0"/>
      <w:outlineLvl w:val="5"/>
    </w:pPr>
    <w:rPr>
      <w:rFonts w:ascii="Times New Roman" w:hAnsi="Times New Roman" w:cs="Times New Roman"/>
      <w:spacing w:val="0"/>
      <w:sz w:val="24"/>
    </w:rPr>
  </w:style>
  <w:style w:type="paragraph" w:styleId="Heading7">
    <w:name w:val="heading 7"/>
    <w:basedOn w:val="HeadingBase"/>
    <w:next w:val="BodyText"/>
    <w:qFormat/>
    <w:pPr>
      <w:outlineLvl w:val="6"/>
    </w:pPr>
    <w:rPr>
      <w:rFonts w:ascii="Times New Roman" w:hAnsi="Times New Roman" w:cs="Times New Roman"/>
      <w:spacing w:val="-4"/>
      <w:sz w:val="22"/>
    </w:rPr>
  </w:style>
  <w:style w:type="paragraph" w:styleId="Heading8">
    <w:name w:val="heading 8"/>
    <w:basedOn w:val="HeadingBase"/>
    <w:next w:val="BodyText"/>
    <w:qFormat/>
    <w:pPr>
      <w:spacing w:before="0" w:after="0"/>
      <w:outlineLvl w:val="7"/>
    </w:pPr>
    <w:rPr>
      <w:i/>
      <w:spacing w:val="-4"/>
    </w:rPr>
  </w:style>
  <w:style w:type="paragraph" w:styleId="Heading9">
    <w:name w:val="heading 9"/>
    <w:basedOn w:val="HeadingBase"/>
    <w:next w:val="BodyText"/>
    <w:qFormat/>
    <w:pPr>
      <w:spacing w:before="0" w:after="0"/>
      <w:outlineLvl w:val="8"/>
    </w:pPr>
    <w:rPr>
      <w:spacing w:val="-4"/>
    </w:rPr>
  </w:style>
  <w:style w:type="character" w:styleId="DefaultParagraphFont">
    <w:name w:val="Default Paragraph Font"/>
    <w:qFormat/>
    <w:rPr/>
  </w:style>
  <w:style w:type="character" w:styleId="EndnoteCharacters">
    <w:name w:val="Endnote Characters"/>
    <w:qFormat/>
    <w:rPr>
      <w:rFonts w:ascii="Times New Roman" w:hAnsi="Times New Roman" w:cs="Times New Roman"/>
      <w:sz w:val="20"/>
      <w:vertAlign w:val="superscript"/>
    </w:rPr>
  </w:style>
  <w:style w:type="character" w:styleId="FootnoteCharacters">
    <w:name w:val="Footnote Characters"/>
    <w:qFormat/>
    <w:rPr>
      <w:rFonts w:ascii="Times New Roman" w:hAnsi="Times New Roman" w:cs="Times New Roman"/>
      <w:sz w:val="20"/>
      <w:vertAlign w:val="superscript"/>
    </w:rPr>
  </w:style>
  <w:style w:type="character" w:styleId="Lead-inEmphasis">
    <w:name w:val="Lead-in Emphasis"/>
    <w:qFormat/>
    <w:rPr>
      <w:rFonts w:ascii="Arial" w:hAnsi="Arial" w:cs="Arial"/>
      <w:b/>
      <w:spacing w:val="-10"/>
    </w:rPr>
  </w:style>
  <w:style w:type="character" w:styleId="LineNumber">
    <w:name w:val="line number"/>
    <w:rPr>
      <w:sz w:val="18"/>
    </w:rPr>
  </w:style>
  <w:style w:type="character" w:styleId="PageNumber">
    <w:name w:val="page number"/>
    <w:rPr/>
  </w:style>
  <w:style w:type="character" w:styleId="Superscript">
    <w:name w:val="Superscript"/>
    <w:qFormat/>
    <w:rPr>
      <w:vertAlign w:val="superscript"/>
    </w:rPr>
  </w:style>
  <w:style w:type="character" w:styleId="MessageHeaderLabel">
    <w:name w:val="Message Header Label"/>
    <w:qFormat/>
    <w:rPr>
      <w:rFonts w:ascii="Times New Roman" w:hAnsi="Times New Roman" w:cs="Times New Roman"/>
      <w:b/>
      <w:spacing w:val="-4"/>
      <w:position w:val="0"/>
      <w:sz w:val="24"/>
      <w:sz w:val="24"/>
      <w:vertAlign w:val="baseline"/>
    </w:rPr>
  </w:style>
  <w:style w:type="character" w:styleId="Emphasis">
    <w:name w:val="Emphasis"/>
    <w:qFormat/>
    <w:rPr>
      <w:rFonts w:ascii="Arial" w:hAnsi="Arial" w:cs="Arial"/>
      <w:b/>
      <w:spacing w:val="-10"/>
      <w:sz w:val="18"/>
    </w:rPr>
  </w:style>
  <w:style w:type="character" w:styleId="CommentReference">
    <w:name w:val="Comment Reference"/>
    <w:qFormat/>
    <w:rPr>
      <w:sz w:val="16"/>
    </w:rPr>
  </w:style>
  <w:style w:type="character" w:styleId="Slogan">
    <w:name w:val="Slogan"/>
    <w:basedOn w:val="DefaultParagraphFont"/>
    <w:qFormat/>
    <w:rPr>
      <w:rFonts w:ascii="Impact" w:hAnsi="Impact" w:cs="Impact"/>
      <w:caps/>
      <w:color w:val="FFFFFF"/>
      <w:spacing w:val="20"/>
      <w:sz w:val="48"/>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pPr>
    <w:rPr/>
  </w:style>
  <w:style w:type="paragraph" w:styleId="List">
    <w:name w:val="List"/>
    <w:basedOn w:val="BodyText"/>
    <w:pPr>
      <w:ind w:hanging="360" w:start="1200" w:end="0"/>
    </w:pPr>
    <w:rPr/>
  </w:style>
  <w:style w:type="paragraph" w:styleId="Caption">
    <w:name w:val="caption"/>
    <w:basedOn w:val="Picture"/>
    <w:next w:val="BodyText"/>
    <w:qFormat/>
    <w:pPr>
      <w:spacing w:lineRule="atLeast" w:line="220"/>
    </w:pPr>
    <w:rPr>
      <w:i/>
      <w:sz w:val="18"/>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0" w:after="0"/>
    </w:pPr>
    <w:rPr>
      <w:rFonts w:ascii="Arial" w:hAnsi="Arial" w:cs="Arial"/>
      <w:spacing w:val="-10"/>
      <w:kern w:val="2"/>
      <w:sz w:val="18"/>
    </w:rPr>
  </w:style>
  <w:style w:type="paragraph" w:styleId="FootnoteBase">
    <w:name w:val="Footnote Base"/>
    <w:basedOn w:val="BodyText"/>
    <w:qFormat/>
    <w:pPr>
      <w:keepLines/>
      <w:spacing w:lineRule="atLeast" w:line="200"/>
    </w:pPr>
    <w:rPr>
      <w:sz w:val="16"/>
    </w:rPr>
  </w:style>
  <w:style w:type="paragraph" w:styleId="MessageHeader">
    <w:name w:val="Message Header"/>
    <w:basedOn w:val="BodyText"/>
    <w:qFormat/>
    <w:pPr>
      <w:keepLines/>
      <w:tabs>
        <w:tab w:val="clear" w:pos="360"/>
        <w:tab w:val="left" w:pos="1560" w:leader="none"/>
      </w:tabs>
      <w:spacing w:lineRule="atLeast" w:line="415" w:before="0" w:after="0"/>
      <w:ind w:hanging="720" w:start="1560" w:end="0"/>
    </w:pPr>
    <w:rPr/>
  </w:style>
  <w:style w:type="paragraph" w:styleId="BlockQuotation">
    <w:name w:val="Block Quotation"/>
    <w:basedOn w:val="BodyText"/>
    <w:qFormat/>
    <w:pPr>
      <w:keepLines/>
      <w:ind w:hanging="0" w:start="1440" w:end="360"/>
    </w:pPr>
    <w:rPr/>
  </w:style>
  <w:style w:type="paragraph" w:styleId="BodyTextKeep">
    <w:name w:val="Body Text Keep"/>
    <w:basedOn w:val="BodyText"/>
    <w:qFormat/>
    <w:pPr>
      <w:keepNext w:val="true"/>
    </w:pPr>
    <w:rPr/>
  </w:style>
  <w:style w:type="paragraph" w:styleId="Picture">
    <w:name w:val="Picture"/>
    <w:basedOn w:val="Normal"/>
    <w:next w:val="Caption"/>
    <w:qFormat/>
    <w:pPr>
      <w:keepNext w:val="true"/>
    </w:pPr>
    <w:rPr/>
  </w:style>
  <w:style w:type="paragraph" w:styleId="DocumentLabel">
    <w:name w:val="Document Label"/>
    <w:next w:val="MessageHeaderFirst"/>
    <w:qFormat/>
    <w:pPr>
      <w:widowControl/>
      <w:tabs>
        <w:tab w:val="clear" w:pos="360"/>
        <w:tab w:val="left" w:pos="1800" w:leader="none"/>
      </w:tabs>
      <w:bidi w:val="0"/>
      <w:spacing w:lineRule="atLeast" w:line="600" w:before="140" w:after="540"/>
      <w:ind w:hanging="0" w:start="840" w:end="0"/>
    </w:pPr>
    <w:rPr>
      <w:rFonts w:ascii="Times New Roman" w:hAnsi="Times New Roman" w:eastAsia="Times New Roman" w:cs="Times New Roman"/>
      <w:color w:val="auto"/>
      <w:spacing w:val="-38"/>
      <w:sz w:val="60"/>
      <w:szCs w:val="20"/>
      <w:lang w:val="en-US" w:eastAsia="zh-CN" w:bidi="hi-IN"/>
    </w:rPr>
  </w:style>
  <w:style w:type="paragraph" w:styleId="MessageHeaderFirst">
    <w:name w:val="Message Header First"/>
    <w:basedOn w:val="MessageHeader"/>
    <w:next w:val="MessageHeader"/>
    <w:qFormat/>
    <w:pPr>
      <w:spacing w:lineRule="auto" w:line="240"/>
      <w:ind w:hanging="720" w:start="1555" w:end="0"/>
    </w:pPr>
    <w:rPr/>
  </w:style>
  <w:style w:type="paragraph" w:styleId="EndnoteText">
    <w:name w:val="endnote text"/>
    <w:basedOn w:val="FootnoteBase"/>
    <w:pPr/>
    <w:rPr>
      <w:rFonts w:ascii="Times New Roman" w:hAnsi="Times New Roman" w:cs="Times New Roman"/>
      <w:sz w:val="16"/>
    </w:rPr>
  </w:style>
  <w:style w:type="paragraph" w:styleId="HeaderBase">
    <w:name w:val="Header Base"/>
    <w:basedOn w:val="BodyText"/>
    <w:qFormat/>
    <w:pPr>
      <w:keepLines/>
      <w:tabs>
        <w:tab w:val="clear" w:pos="360"/>
        <w:tab w:val="left" w:pos="-1080" w:leader="none"/>
        <w:tab w:val="center" w:pos="4320" w:leader="none"/>
        <w:tab w:val="right" w:pos="9720" w:leader="none"/>
      </w:tabs>
      <w:spacing w:before="0" w:after="0"/>
      <w:ind w:hanging="0" w:start="-1080" w:end="-840"/>
    </w:pPr>
    <w:rPr/>
  </w:style>
  <w:style w:type="paragraph" w:styleId="HeaderandFooter">
    <w:name w:val="Header and Footer"/>
    <w:basedOn w:val="Normal"/>
    <w:qFormat/>
    <w:pPr>
      <w:suppressLineNumbers/>
      <w:tabs>
        <w:tab w:val="clear" w:pos="360"/>
        <w:tab w:val="center" w:pos="4986" w:leader="none"/>
        <w:tab w:val="right" w:pos="9972" w:leader="none"/>
      </w:tabs>
    </w:pPr>
    <w:rPr/>
  </w:style>
  <w:style w:type="paragraph" w:styleId="Footer">
    <w:name w:val="footer"/>
    <w:basedOn w:val="HeaderBase"/>
    <w:pPr>
      <w:spacing w:before="420" w:after="0"/>
      <w:ind w:hanging="0" w:start="-1080" w:end="-1080"/>
    </w:pPr>
    <w:rPr>
      <w:rFonts w:ascii="Arial" w:hAnsi="Arial" w:cs="Arial"/>
      <w:b/>
    </w:rPr>
  </w:style>
  <w:style w:type="paragraph" w:styleId="FootnoteText">
    <w:name w:val="footnote text"/>
    <w:basedOn w:val="FootnoteBase"/>
    <w:pPr/>
    <w:rPr/>
  </w:style>
  <w:style w:type="paragraph" w:styleId="Header">
    <w:name w:val="header"/>
    <w:basedOn w:val="HeaderBase"/>
    <w:pPr>
      <w:pBdr/>
      <w:ind w:hanging="0" w:start="-1080" w:end="-1080"/>
    </w:pPr>
    <w:rPr>
      <w:i/>
    </w:rPr>
  </w:style>
  <w:style w:type="paragraph" w:styleId="ListBullet">
    <w:name w:val="List Bullet"/>
    <w:basedOn w:val="List"/>
    <w:qFormat/>
    <w:pPr>
      <w:numPr>
        <w:ilvl w:val="0"/>
        <w:numId w:val="2"/>
      </w:numPr>
      <w:ind w:hanging="360" w:start="1560" w:end="360"/>
    </w:pPr>
    <w:rPr/>
  </w:style>
  <w:style w:type="paragraph" w:styleId="ListNumber">
    <w:name w:val="List Number"/>
    <w:basedOn w:val="List"/>
    <w:qFormat/>
    <w:pPr>
      <w:numPr>
        <w:ilvl w:val="0"/>
        <w:numId w:val="3"/>
      </w:numPr>
      <w:ind w:hanging="360" w:start="1560" w:end="360"/>
    </w:pPr>
    <w:rPr/>
  </w:style>
  <w:style w:type="paragraph" w:styleId="MacroText">
    <w:name w:val="Macro Text"/>
    <w:basedOn w:val="BodyText"/>
    <w:qFormat/>
    <w:pPr>
      <w:spacing w:lineRule="auto" w:line="240"/>
    </w:pPr>
    <w:rPr>
      <w:rFonts w:ascii="Courier New" w:hAnsi="Courier New" w:cs="Courier New"/>
    </w:rPr>
  </w:style>
  <w:style w:type="paragraph" w:styleId="ListBullet51">
    <w:name w:val="List Bullet 51"/>
    <w:basedOn w:val="ListBullet"/>
    <w:qFormat/>
    <w:pPr>
      <w:ind w:hanging="360" w:start="3000" w:end="360"/>
    </w:pPr>
    <w:rPr/>
  </w:style>
  <w:style w:type="paragraph" w:styleId="ListBullet41">
    <w:name w:val="List Bullet 41"/>
    <w:basedOn w:val="ListBullet"/>
    <w:qFormat/>
    <w:pPr>
      <w:ind w:hanging="360" w:start="2640" w:end="360"/>
    </w:pPr>
    <w:rPr/>
  </w:style>
  <w:style w:type="paragraph" w:styleId="Date">
    <w:name w:val="Date"/>
    <w:basedOn w:val="BodyText"/>
    <w:qFormat/>
    <w:pPr>
      <w:spacing w:before="0" w:after="0"/>
    </w:pPr>
    <w:rPr/>
  </w:style>
  <w:style w:type="paragraph" w:styleId="ListBullet31">
    <w:name w:val="List Bullet 31"/>
    <w:basedOn w:val="ListBullet"/>
    <w:qFormat/>
    <w:pPr>
      <w:ind w:hanging="360" w:start="2280" w:end="360"/>
    </w:pPr>
    <w:rPr/>
  </w:style>
  <w:style w:type="paragraph" w:styleId="ListNumber5">
    <w:name w:val="List Number 5"/>
    <w:basedOn w:val="ListNumber"/>
    <w:qFormat/>
    <w:pPr>
      <w:ind w:hanging="360" w:start="3000" w:end="360"/>
    </w:pPr>
    <w:rPr/>
  </w:style>
  <w:style w:type="paragraph" w:styleId="ListNumber4">
    <w:name w:val="List Number 4"/>
    <w:basedOn w:val="ListNumber"/>
    <w:qFormat/>
    <w:pPr>
      <w:ind w:hanging="360" w:start="2640" w:end="360"/>
    </w:pPr>
    <w:rPr/>
  </w:style>
  <w:style w:type="paragraph" w:styleId="ListNumber3">
    <w:name w:val="List Number 3"/>
    <w:basedOn w:val="ListNumber"/>
    <w:qFormat/>
    <w:pPr>
      <w:ind w:hanging="360" w:start="2280" w:end="360"/>
    </w:pPr>
    <w:rPr/>
  </w:style>
  <w:style w:type="paragraph" w:styleId="ListNumber2">
    <w:name w:val="List Number 2"/>
    <w:basedOn w:val="ListNumber"/>
    <w:qFormat/>
    <w:pPr>
      <w:numPr>
        <w:ilvl w:val="0"/>
        <w:numId w:val="4"/>
      </w:numPr>
      <w:ind w:hanging="360" w:start="1920" w:end="360"/>
    </w:pPr>
    <w:rPr/>
  </w:style>
  <w:style w:type="paragraph" w:styleId="ListBullet21">
    <w:name w:val="List Bullet 21"/>
    <w:basedOn w:val="ListBullet"/>
    <w:qFormat/>
    <w:pPr>
      <w:ind w:hanging="360" w:start="1920" w:end="360"/>
    </w:pPr>
    <w:rPr/>
  </w:style>
  <w:style w:type="paragraph" w:styleId="ListBullet5">
    <w:name w:val="List Bullet 5"/>
    <w:basedOn w:val="List"/>
    <w:pPr>
      <w:ind w:hanging="360" w:start="2640" w:end="0"/>
    </w:pPr>
    <w:rPr/>
  </w:style>
  <w:style w:type="paragraph" w:styleId="ListBullet4">
    <w:name w:val="List Bullet 4"/>
    <w:basedOn w:val="List"/>
    <w:pPr>
      <w:ind w:hanging="360" w:start="2280" w:end="0"/>
    </w:pPr>
    <w:rPr/>
  </w:style>
  <w:style w:type="paragraph" w:styleId="ListBullet3">
    <w:name w:val="List Bullet 3"/>
    <w:basedOn w:val="List"/>
    <w:pPr>
      <w:ind w:hanging="360" w:start="1920" w:end="0"/>
    </w:pPr>
    <w:rPr/>
  </w:style>
  <w:style w:type="paragraph" w:styleId="ListBullet2">
    <w:name w:val="List Bullet 2"/>
    <w:basedOn w:val="List"/>
    <w:pPr>
      <w:ind w:hanging="360" w:start="1560" w:end="0"/>
    </w:pPr>
    <w:rPr/>
  </w:style>
  <w:style w:type="paragraph" w:styleId="Closing">
    <w:name w:val="Closing"/>
    <w:basedOn w:val="Normal"/>
    <w:qFormat/>
    <w:pPr>
      <w:spacing w:lineRule="atLeast" w:line="220"/>
    </w:pPr>
    <w:rPr/>
  </w:style>
  <w:style w:type="paragraph" w:styleId="CommentText">
    <w:name w:val="Comment Text"/>
    <w:basedOn w:val="FootnoteBase"/>
    <w:qFormat/>
    <w:pPr/>
    <w:rPr>
      <w:rFonts w:ascii="Times New Roman" w:hAnsi="Times New Roman" w:cs="Times New Roman"/>
      <w:sz w:val="16"/>
    </w:rPr>
  </w:style>
  <w:style w:type="paragraph" w:styleId="BodyTextIndent">
    <w:name w:val="Body Text Indent"/>
    <w:basedOn w:val="BodyText"/>
    <w:pPr>
      <w:spacing w:lineRule="auto" w:line="240" w:before="240" w:after="0"/>
      <w:ind w:hanging="0" w:start="1440" w:end="0"/>
    </w:pPr>
    <w:rPr/>
  </w:style>
  <w:style w:type="paragraph" w:styleId="NormalIndent">
    <w:name w:val="Normal Indent"/>
    <w:basedOn w:val="Normal"/>
    <w:qFormat/>
    <w:pPr>
      <w:spacing w:before="240" w:after="0"/>
      <w:ind w:hanging="0" w:start="720" w:end="720"/>
    </w:pPr>
    <w:rPr/>
  </w:style>
  <w:style w:type="paragraph" w:styleId="ListContinue">
    <w:name w:val="List Continue"/>
    <w:basedOn w:val="List"/>
    <w:qFormat/>
    <w:pPr>
      <w:ind w:hanging="0" w:start="1200" w:end="480"/>
    </w:pPr>
    <w:rPr/>
  </w:style>
  <w:style w:type="paragraph" w:styleId="ListContinue2">
    <w:name w:val="List Continue 2"/>
    <w:basedOn w:val="ListContinue"/>
    <w:qFormat/>
    <w:pPr>
      <w:ind w:hanging="0" w:start="1800" w:end="480"/>
    </w:pPr>
    <w:rPr/>
  </w:style>
  <w:style w:type="paragraph" w:styleId="ListContinue3">
    <w:name w:val="List Continue 3"/>
    <w:basedOn w:val="ListContinue"/>
    <w:qFormat/>
    <w:pPr>
      <w:ind w:hanging="0" w:start="2160" w:end="480"/>
    </w:pPr>
    <w:rPr/>
  </w:style>
  <w:style w:type="paragraph" w:styleId="ListContinue4">
    <w:name w:val="List Continue 4"/>
    <w:basedOn w:val="ListContinue"/>
    <w:qFormat/>
    <w:pPr>
      <w:ind w:hanging="0" w:start="2520" w:end="480"/>
    </w:pPr>
    <w:rPr/>
  </w:style>
  <w:style w:type="paragraph" w:styleId="ListContinue5">
    <w:name w:val="List Continue 5"/>
    <w:basedOn w:val="ListContinue"/>
    <w:qFormat/>
    <w:pPr>
      <w:ind w:hanging="0" w:start="2880" w:end="480"/>
    </w:pPr>
    <w:rPr/>
  </w:style>
  <w:style w:type="paragraph" w:styleId="CompanyName">
    <w:name w:val="Company Name"/>
    <w:basedOn w:val="Normal"/>
    <w:next w:val="ReturnAddress"/>
    <w:qFormat/>
    <w:pPr>
      <w:keepLines/>
      <w:spacing w:lineRule="atLeast" w:line="200"/>
      <w:ind w:hanging="0" w:start="0" w:end="-120"/>
    </w:pPr>
    <w:rPr>
      <w:sz w:val="16"/>
    </w:rPr>
  </w:style>
  <w:style w:type="paragraph" w:styleId="Enclosure">
    <w:name w:val="Enclosure"/>
    <w:basedOn w:val="BodyText"/>
    <w:next w:val="Normal"/>
    <w:qFormat/>
    <w:pPr>
      <w:keepLines/>
      <w:spacing w:before="220" w:after="220"/>
    </w:pPr>
    <w:rPr/>
  </w:style>
  <w:style w:type="paragraph" w:styleId="ReferenceInitials">
    <w:name w:val="Reference Initials"/>
    <w:basedOn w:val="BodyText"/>
    <w:next w:val="Enclosure"/>
    <w:qFormat/>
    <w:pPr>
      <w:keepNext w:val="true"/>
      <w:keepLines/>
      <w:spacing w:before="0" w:after="0"/>
    </w:pPr>
    <w:rPr/>
  </w:style>
  <w:style w:type="paragraph" w:styleId="ReturnAddress">
    <w:name w:val="Return Address"/>
    <w:basedOn w:val="Normal"/>
    <w:qFormat/>
    <w:pPr>
      <w:keepLines/>
      <w:spacing w:lineRule="atLeast" w:line="200"/>
      <w:ind w:hanging="0" w:start="0" w:end="-120"/>
    </w:pPr>
    <w:rPr>
      <w:sz w:val="16"/>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ReferenceInitials"/>
    <w:qFormat/>
    <w:pPr>
      <w:spacing w:before="0" w:after="0"/>
      <w:ind w:hanging="0" w:start="0" w:end="0"/>
    </w:pPr>
    <w:rPr/>
  </w:style>
  <w:style w:type="paragraph" w:styleId="SignatureName">
    <w:name w:val="Signature Name"/>
    <w:basedOn w:val="Signature"/>
    <w:next w:val="SignatureJobTitle"/>
    <w:qFormat/>
    <w:pPr>
      <w:spacing w:before="720" w:after="0"/>
    </w:pPr>
    <w:rPr/>
  </w:style>
  <w:style w:type="paragraph" w:styleId="MessageHeaderLast">
    <w:name w:val="Message Header Last"/>
    <w:basedOn w:val="MessageHeader"/>
    <w:next w:val="BodyText"/>
    <w:qFormat/>
    <w:pPr>
      <w:pBdr>
        <w:bottom w:val="single" w:sz="6" w:space="22" w:color="000000"/>
      </w:pBdr>
      <w:spacing w:before="0" w:after="400"/>
    </w:pPr>
    <w:rPr/>
  </w:style>
  <w:style w:type="paragraph" w:styleId="EnvelopeAddress">
    <w:name w:val="envelope address"/>
    <w:basedOn w:val="BodyText"/>
    <w:pPr>
      <w:spacing w:before="0" w:after="0"/>
      <w:ind w:hanging="0" w:start="2880" w:end="0"/>
    </w:pPr>
    <w:rPr/>
  </w:style>
  <w:style w:type="paragraph" w:styleId="EnvelopeReturn">
    <w:name w:val="envelope return"/>
    <w:basedOn w:val="BodyText"/>
    <w:pPr>
      <w:spacing w:before="0" w:after="0"/>
      <w:ind w:hanging="0" w:start="0" w:end="0"/>
    </w:pPr>
    <w:rPr/>
  </w:style>
  <w:style w:type="paragraph" w:styleId="Paragraph">
    <w:name w:val="Paragraph"/>
    <w:basedOn w:val="Normal"/>
    <w:qFormat/>
    <w:pPr>
      <w:spacing w:before="240" w:after="0"/>
      <w:ind w:firstLine="720" w:start="0" w:end="0"/>
    </w:pPr>
    <w:rPr/>
  </w:style>
  <w:style w:type="numbering" w:styleId="WW8Num1">
    <w:name w:val="WW8Num1"/>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Basic Memo.dot</Template>
  <TotalTime>85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2000-09-28T14:01:00Z</dcterms:created>
  <dc:creator>Craig R. Carver</dc:creator>
  <dc:description/>
  <dc:language>en-CA</dc:language>
  <cp:lastModifiedBy>Craig R. Carver</cp:lastModifiedBy>
  <cp:lastPrinted>2000-09-28T14:01:00Z</cp:lastPrinted>
  <dcterms:modified xsi:type="dcterms:W3CDTF">2000-09-28T17:54:00Z</dcterms:modified>
  <cp:revision>5</cp:revision>
  <dc:subject/>
  <dc:title>Contemporary Memo</dc:title>
</cp:coreProperties>
</file>