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February __, 2001</w:t>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rPr>
          <w:sz w:val="24"/>
          <w:szCs w:val="24"/>
        </w:rPr>
      </w:pPr>
      <w:r>
        <w:rPr>
          <w:sz w:val="24"/>
          <w:szCs w:val="24"/>
        </w:rPr>
        <w:t>Mr. David P. Boergers, Secretary</w:t>
      </w:r>
    </w:p>
    <w:p>
      <w:pPr>
        <w:pStyle w:val="Normal"/>
        <w:rPr>
          <w:sz w:val="24"/>
          <w:szCs w:val="24"/>
        </w:rPr>
      </w:pPr>
      <w:r>
        <w:rPr>
          <w:sz w:val="24"/>
          <w:szCs w:val="24"/>
        </w:rPr>
        <w:t>Federal Energy Regulatory Commission</w:t>
      </w:r>
    </w:p>
    <w:p>
      <w:pPr>
        <w:pStyle w:val="Heading1"/>
        <w:widowControl/>
        <w:ind w:hanging="0" w:start="0"/>
        <w:rPr/>
      </w:pPr>
      <w:r>
        <w:rPr/>
        <w:t>888 First Street, N.E., Room 1A</w:t>
      </w:r>
    </w:p>
    <w:p>
      <w:pPr>
        <w:pStyle w:val="Normal"/>
        <w:rPr>
          <w:sz w:val="24"/>
          <w:szCs w:val="24"/>
        </w:rPr>
      </w:pPr>
      <w:r>
        <w:rPr>
          <w:sz w:val="24"/>
          <w:szCs w:val="24"/>
        </w:rPr>
        <w:t>Washington, D.C.  20426</w:t>
      </w:r>
    </w:p>
    <w:p>
      <w:pPr>
        <w:pStyle w:val="Normal"/>
        <w:rPr>
          <w:sz w:val="24"/>
          <w:szCs w:val="24"/>
        </w:rPr>
      </w:pPr>
      <w:r>
        <w:rPr>
          <w:sz w:val="24"/>
          <w:szCs w:val="24"/>
        </w:rPr>
      </w:r>
    </w:p>
    <w:p>
      <w:pPr>
        <w:pStyle w:val="Normal"/>
        <w:rPr>
          <w:sz w:val="24"/>
          <w:szCs w:val="24"/>
        </w:rPr>
      </w:pPr>
      <w:r>
        <w:rPr>
          <w:sz w:val="24"/>
          <w:szCs w:val="24"/>
        </w:rPr>
        <w:t>Re:</w:t>
        <w:tab/>
        <w:t>Transwestern Pipeline Company</w:t>
      </w:r>
    </w:p>
    <w:p>
      <w:pPr>
        <w:pStyle w:val="Normal"/>
        <w:rPr>
          <w:sz w:val="24"/>
          <w:szCs w:val="24"/>
        </w:rPr>
      </w:pPr>
      <w:r>
        <w:rPr>
          <w:sz w:val="24"/>
          <w:szCs w:val="24"/>
        </w:rPr>
        <w:tab/>
        <w:t>Docket No. RP01-</w:t>
      </w:r>
    </w:p>
    <w:p>
      <w:pPr>
        <w:pStyle w:val="Normal"/>
        <w:rPr>
          <w:sz w:val="24"/>
          <w:szCs w:val="24"/>
        </w:rPr>
      </w:pPr>
      <w:r>
        <w:rPr>
          <w:sz w:val="24"/>
          <w:szCs w:val="24"/>
        </w:rPr>
      </w:r>
    </w:p>
    <w:p>
      <w:pPr>
        <w:pStyle w:val="Normal"/>
        <w:rPr>
          <w:sz w:val="24"/>
          <w:szCs w:val="24"/>
        </w:rPr>
      </w:pPr>
      <w:r>
        <w:rPr>
          <w:sz w:val="24"/>
          <w:szCs w:val="24"/>
        </w:rPr>
        <w:t>Dear Mr. Boergers:</w:t>
      </w:r>
    </w:p>
    <w:p>
      <w:pPr>
        <w:pStyle w:val="Normal"/>
        <w:rPr>
          <w:sz w:val="24"/>
          <w:szCs w:val="24"/>
        </w:rPr>
      </w:pPr>
      <w:r>
        <w:rPr>
          <w:sz w:val="24"/>
          <w:szCs w:val="24"/>
        </w:rPr>
      </w:r>
    </w:p>
    <w:p>
      <w:pPr>
        <w:pStyle w:val="WW-BodyText2"/>
        <w:rPr/>
      </w:pPr>
      <w:r>
        <w:rPr/>
        <w:t xml:space="preserve">Transwestern Pipeline Company (“Transwestern”) submits for filing and acceptance an original and five (5) copies of the following tariff sheets as part of its F.E.R.C. Gas Tariff, Second Revised Volume No. 1 to become effective </w:t>
      </w:r>
      <w:r>
        <w:rPr>
          <w:i/>
          <w:iCs/>
        </w:rPr>
        <w:t>[date]</w:t>
      </w:r>
      <w:r>
        <w:rPr/>
        <w:t>:</w:t>
      </w:r>
    </w:p>
    <w:p>
      <w:pPr>
        <w:pStyle w:val="Normal"/>
        <w:ind w:firstLine="720" w:end="0"/>
        <w:rPr>
          <w:sz w:val="24"/>
          <w:szCs w:val="24"/>
        </w:rPr>
      </w:pPr>
      <w:r>
        <w:rPr>
          <w:sz w:val="24"/>
          <w:szCs w:val="24"/>
        </w:rPr>
      </w:r>
    </w:p>
    <w:p>
      <w:pPr>
        <w:pStyle w:val="Normal"/>
        <w:jc w:val="center"/>
        <w:rPr>
          <w:sz w:val="24"/>
          <w:szCs w:val="24"/>
          <w:u w:val="single"/>
        </w:rPr>
      </w:pPr>
      <w:r>
        <w:rPr>
          <w:sz w:val="24"/>
          <w:szCs w:val="24"/>
          <w:u w:val="single"/>
        </w:rPr>
        <w:t>Second Revised Volume No. 1</w:t>
      </w:r>
    </w:p>
    <w:p>
      <w:pPr>
        <w:pStyle w:val="Heading2"/>
        <w:ind w:hanging="0" w:start="0"/>
        <w:rPr>
          <w:i/>
          <w:i/>
          <w:iCs/>
        </w:rPr>
      </w:pPr>
      <w:r>
        <w:rPr>
          <w:i/>
          <w:iCs/>
        </w:rPr>
        <w:t>[51A?]</w:t>
      </w:r>
    </w:p>
    <w:p>
      <w:pPr>
        <w:pStyle w:val="Heading2"/>
        <w:ind w:hanging="0" w:start="0"/>
        <w:rPr/>
      </w:pPr>
      <w:r>
        <w:rPr/>
        <w:t>Eighth Revised Tariff Sheet No. 80B</w:t>
      </w:r>
    </w:p>
    <w:p>
      <w:pPr>
        <w:pStyle w:val="Normal"/>
        <w:spacing w:lineRule="auto" w:line="360"/>
        <w:rPr>
          <w:sz w:val="24"/>
          <w:szCs w:val="24"/>
        </w:rPr>
      </w:pPr>
      <w:r>
        <w:rPr>
          <w:sz w:val="24"/>
          <w:szCs w:val="24"/>
        </w:rPr>
      </w:r>
    </w:p>
    <w:p>
      <w:pPr>
        <w:pStyle w:val="BodyText"/>
        <w:spacing w:lineRule="auto" w:line="360"/>
        <w:rPr>
          <w:u w:val="single"/>
        </w:rPr>
      </w:pPr>
      <w:r>
        <w:rPr>
          <w:u w:val="single"/>
        </w:rPr>
        <w:t>Description of New Tariff Provisions</w:t>
      </w:r>
    </w:p>
    <w:p>
      <w:pPr>
        <w:pStyle w:val="BodyText"/>
        <w:spacing w:lineRule="auto" w:line="360"/>
        <w:rPr/>
      </w:pPr>
      <w:r>
        <w:rPr/>
        <w:tab/>
        <w:t>With the referenced tariff sheets Transwestern proposes to amend the General Terms and Conditions of its tariff to provide that capacity at alternate receipt and delivery points will be scheduled on a price basis.  More specifically, the revised tariff sheets provide that alternate point firm transportation will be scheduled based upon the highest percentage of the maximum rate.  Additionally, the tariff sheets provide that if two or more shippers are paying the same highest price, a pro rata allocation will be made. Consistent with Commission policy</w:t>
      </w:r>
      <w:r>
        <w:rPr>
          <w:rStyle w:val="FootnoteCharacters"/>
          <w:rStyle w:val="FootnoteReference"/>
        </w:rPr>
        <w:footnoteReference w:id="2"/>
      </w:r>
      <w:r>
        <w:rPr/>
        <w:t>, for purposes of such allocation shippers paying more than the maximum tariff rate will be considered to be paying the maximum tariff rate.</w:t>
      </w:r>
    </w:p>
    <w:p>
      <w:pPr>
        <w:pStyle w:val="BodyText"/>
        <w:spacing w:lineRule="auto" w:line="360"/>
        <w:rPr>
          <w:u w:val="single"/>
        </w:rPr>
      </w:pPr>
      <w:r>
        <w:rPr>
          <w:u w:val="single"/>
        </w:rPr>
        <w:t>Reason for Filing</w:t>
      </w:r>
    </w:p>
    <w:p>
      <w:pPr>
        <w:pStyle w:val="Normal"/>
        <w:spacing w:lineRule="auto" w:line="360"/>
        <w:rPr>
          <w:rStyle w:val="Emphasis"/>
          <w:sz w:val="24"/>
          <w:szCs w:val="24"/>
          <w:u w:val="single"/>
        </w:rPr>
      </w:pPr>
      <w:r>
        <w:rPr>
          <w:sz w:val="24"/>
          <w:szCs w:val="24"/>
        </w:rPr>
        <w:tab/>
        <w:t>Currently Transwestern's tariff provides that service to alternate points is scheduled on a pro rata basis.  The Commission has previously permitted the scheduling of capacity at secondary points on a price basis rather than a pro rata basis, holding that establishing different degrees of scheduling priorities among firm shippers at such points is acceptable because a shipper has no absolute entitlement to service at a secondary point.</w:t>
      </w:r>
      <w:r>
        <w:rPr>
          <w:rStyle w:val="FootnoteCharacters"/>
          <w:rStyle w:val="FootnoteReference"/>
          <w:sz w:val="24"/>
          <w:szCs w:val="24"/>
        </w:rPr>
        <w:footnoteReference w:id="3"/>
      </w:r>
      <w:r>
        <w:rPr>
          <w:sz w:val="24"/>
          <w:szCs w:val="24"/>
        </w:rPr>
        <w:t xml:space="preserve">  Transwestern's proposed tariff revisions are consistent with similar provisions previously approved by the Commission.  Scheduling will be based on highest percentage of the applicable maximum rate rather than highest price, to allow for differences in maximum rates across Transwestern's system.  Total contract rate will be considered in calculating highest percentage, and a 100 percent load factor rate will be used in calculating highest percentage for negotiated rate contracts.</w:t>
      </w:r>
      <w:r>
        <w:rPr>
          <w:rStyle w:val="FootnoteCharacters"/>
          <w:rStyle w:val="FootnoteReference"/>
          <w:sz w:val="24"/>
          <w:szCs w:val="24"/>
        </w:rPr>
        <w:footnoteReference w:id="4"/>
      </w:r>
      <w:r>
        <w:rPr>
          <w:sz w:val="24"/>
          <w:szCs w:val="24"/>
        </w:rPr>
        <w:t xml:space="preserve"> </w:t>
      </w:r>
      <w:r>
        <w:rPr>
          <w:i/>
          <w:iCs/>
          <w:sz w:val="24"/>
          <w:szCs w:val="24"/>
        </w:rPr>
        <w:t>[correct?]</w:t>
      </w:r>
    </w:p>
    <w:p>
      <w:pPr>
        <w:pStyle w:val="Normal"/>
        <w:spacing w:lineRule="auto" w:line="360"/>
        <w:rPr/>
      </w:pPr>
      <w:r>
        <w:rPr>
          <w:rStyle w:val="Emphasis"/>
          <w:i w:val="false"/>
          <w:iCs w:val="false"/>
          <w:sz w:val="24"/>
          <w:szCs w:val="24"/>
        </w:rPr>
        <w:tab/>
      </w:r>
      <w:r>
        <w:rPr>
          <w:rStyle w:val="Emphasis"/>
          <w:sz w:val="24"/>
          <w:szCs w:val="24"/>
        </w:rPr>
        <w:t>[Transwestern is also modifying the definitions of alternate receipt point and alternate delivery point, to clarify that until scheduled, service to such points is on an interruptible basis only.  These modifications make the definitions consistent with scheduling on Transwestern:  once scheduled, alternate point rights are given the same priority as primary rights.  STEVE -- ANY WAY TO AVOID GETTING INTO THIS?  OUR CURRENT DEFINITIONS MAY BE MISLEADING, AND THE COMMISSION SEEMED TO THINK THIS POINT WAS IMPORTANT IN PANHANDLE.]</w:t>
      </w:r>
    </w:p>
    <w:p>
      <w:pPr>
        <w:pStyle w:val="Normal"/>
        <w:spacing w:lineRule="auto" w:line="360"/>
        <w:rPr/>
      </w:pPr>
      <w:r>
        <w:rPr>
          <w:sz w:val="24"/>
          <w:szCs w:val="24"/>
          <w:u w:val="single"/>
        </w:rPr>
        <w:t>Service</w:t>
      </w:r>
    </w:p>
    <w:p>
      <w:pPr>
        <w:pStyle w:val="Normal"/>
        <w:spacing w:lineRule="auto" w:line="360"/>
        <w:rPr>
          <w:sz w:val="24"/>
          <w:szCs w:val="24"/>
        </w:rPr>
      </w:pPr>
      <w:r>
        <w:rPr>
          <w:sz w:val="24"/>
          <w:szCs w:val="24"/>
        </w:rPr>
        <w:tab/>
        <w:t>A copy of this transmittal letter and the proposed tariff sheet has been served upon all of Transwestern’s customers and interested state regulatory commissions.  A copy of this filing is also available for public inspection in Transwestern’s office in Omaha, Nebraska during regular business hours.</w:t>
      </w:r>
    </w:p>
    <w:p>
      <w:pPr>
        <w:pStyle w:val="Normal"/>
        <w:spacing w:lineRule="auto" w:line="360"/>
        <w:rPr>
          <w:sz w:val="24"/>
          <w:szCs w:val="24"/>
          <w:u w:val="single"/>
        </w:rPr>
      </w:pPr>
      <w:r>
        <w:rPr>
          <w:sz w:val="24"/>
          <w:szCs w:val="24"/>
          <w:u w:val="single"/>
        </w:rPr>
        <w:t>Marked Version</w:t>
      </w:r>
    </w:p>
    <w:p>
      <w:pPr>
        <w:pStyle w:val="Normal"/>
        <w:spacing w:lineRule="auto" w:line="360"/>
        <w:rPr>
          <w:sz w:val="24"/>
          <w:szCs w:val="24"/>
        </w:rPr>
      </w:pPr>
      <w:r>
        <w:rPr>
          <w:sz w:val="24"/>
          <w:szCs w:val="24"/>
        </w:rPr>
        <w:tab/>
        <w:t>In accordance with Section 154.201 of the Commission’s Regulations, a marked version of the proposed tariff sheets that highlights the additions is enclosed.</w:t>
      </w:r>
    </w:p>
    <w:p>
      <w:pPr>
        <w:pStyle w:val="Normal"/>
        <w:spacing w:lineRule="auto" w:line="360"/>
        <w:rPr>
          <w:sz w:val="24"/>
          <w:szCs w:val="24"/>
        </w:rPr>
      </w:pPr>
      <w:r>
        <w:rPr>
          <w:sz w:val="24"/>
          <w:szCs w:val="24"/>
          <w:u w:val="single"/>
        </w:rPr>
        <w:t>Waivers</w:t>
      </w:r>
    </w:p>
    <w:p>
      <w:pPr>
        <w:pStyle w:val="Normal"/>
        <w:spacing w:lineRule="auto" w:line="360"/>
        <w:rPr/>
      </w:pPr>
      <w:r>
        <w:rPr>
          <w:sz w:val="24"/>
          <w:szCs w:val="24"/>
        </w:rPr>
        <w:tab/>
        <w:t xml:space="preserve"> Transwestern respectfully requests that the Commission grant any and all waivers of its Regulations that it deems necessary to allow this filing to become effective </w:t>
      </w:r>
      <w:r>
        <w:rPr>
          <w:i/>
          <w:iCs/>
          <w:sz w:val="24"/>
          <w:szCs w:val="24"/>
        </w:rPr>
        <w:t>[date]</w:t>
      </w:r>
      <w:r>
        <w:rPr>
          <w:sz w:val="24"/>
          <w:szCs w:val="24"/>
        </w:rPr>
        <w:t xml:space="preserve">. </w:t>
      </w:r>
    </w:p>
    <w:p>
      <w:pPr>
        <w:pStyle w:val="Normal"/>
        <w:spacing w:lineRule="auto" w:line="360"/>
        <w:rPr>
          <w:sz w:val="24"/>
          <w:szCs w:val="24"/>
          <w:u w:val="single"/>
        </w:rPr>
      </w:pPr>
      <w:r>
        <w:rPr>
          <w:sz w:val="24"/>
          <w:szCs w:val="24"/>
          <w:u w:val="single"/>
        </w:rPr>
        <w:t>Notice</w:t>
      </w:r>
    </w:p>
    <w:p>
      <w:pPr>
        <w:pStyle w:val="Normal"/>
        <w:spacing w:lineRule="auto" w:line="360"/>
        <w:rPr>
          <w:sz w:val="24"/>
          <w:szCs w:val="24"/>
        </w:rPr>
      </w:pPr>
      <w:r>
        <w:rPr>
          <w:sz w:val="24"/>
          <w:szCs w:val="24"/>
        </w:rPr>
        <w:tab/>
        <w:t>In accordance with Section 154.209 of the Commission’s Regulations, Transwestern hereby encloses a Notice of Filing suitable for publication in the Federal Register.</w:t>
      </w:r>
    </w:p>
    <w:p>
      <w:pPr>
        <w:pStyle w:val="Normal"/>
        <w:spacing w:lineRule="auto" w:line="360"/>
        <w:rPr>
          <w:sz w:val="24"/>
          <w:szCs w:val="24"/>
          <w:u w:val="single"/>
        </w:rPr>
      </w:pPr>
      <w:r>
        <w:rPr>
          <w:sz w:val="24"/>
          <w:szCs w:val="24"/>
          <w:u w:val="single"/>
        </w:rPr>
        <w:t>Motion</w:t>
      </w:r>
    </w:p>
    <w:p>
      <w:pPr>
        <w:pStyle w:val="Normal"/>
        <w:spacing w:lineRule="auto" w:line="360"/>
        <w:ind w:firstLine="720" w:end="0"/>
        <w:rPr>
          <w:sz w:val="24"/>
          <w:szCs w:val="24"/>
        </w:rPr>
      </w:pPr>
      <w:r>
        <w:rPr>
          <w:sz w:val="24"/>
          <w:szCs w:val="24"/>
        </w:rPr>
        <w:t>In accordance with Sections 154.7(a)(9) and 154.206(c) of the Commission’s Regulations, Transwestern hereby reserves the right to file a motion to place the tariff sheets referenced herein in effect as of the end of any suspension period ordered by the Commission.</w:t>
      </w:r>
    </w:p>
    <w:p>
      <w:pPr>
        <w:pStyle w:val="Normal"/>
        <w:spacing w:lineRule="auto" w:line="360"/>
        <w:rPr>
          <w:sz w:val="24"/>
          <w:szCs w:val="24"/>
          <w:u w:val="single"/>
        </w:rPr>
      </w:pPr>
      <w:r>
        <w:rPr>
          <w:sz w:val="24"/>
          <w:szCs w:val="24"/>
          <w:u w:val="single"/>
        </w:rPr>
        <w:t>Data Processing Requirements</w:t>
      </w:r>
    </w:p>
    <w:p>
      <w:pPr>
        <w:pStyle w:val="Normal"/>
        <w:spacing w:lineRule="auto" w:line="360"/>
        <w:rPr>
          <w:sz w:val="24"/>
          <w:szCs w:val="24"/>
        </w:rPr>
      </w:pPr>
      <w:r>
        <w:rPr>
          <w:sz w:val="24"/>
          <w:szCs w:val="24"/>
        </w:rPr>
        <w:tab/>
        <w:t>Transwestern has also submitted a diskette reflecting the information contained in the above-referenced tariff sheets and a separate diskette reflecting the attached Notice.</w:t>
      </w:r>
    </w:p>
    <w:p>
      <w:pPr>
        <w:pStyle w:val="Normal"/>
        <w:spacing w:lineRule="auto" w:line="360"/>
        <w:rPr>
          <w:sz w:val="24"/>
          <w:szCs w:val="24"/>
          <w:u w:val="single"/>
        </w:rPr>
      </w:pPr>
      <w:r>
        <w:rPr>
          <w:sz w:val="24"/>
          <w:szCs w:val="24"/>
          <w:u w:val="single"/>
        </w:rPr>
        <w:t>Communication</w:t>
      </w:r>
    </w:p>
    <w:p>
      <w:pPr>
        <w:pStyle w:val="BodyText2"/>
        <w:spacing w:lineRule="auto" w:line="360"/>
        <w:rPr>
          <w:i w:val="false"/>
          <w:i w:val="false"/>
          <w:iCs w:val="false"/>
        </w:rPr>
      </w:pPr>
      <w:r>
        <w:rPr>
          <w:i w:val="false"/>
          <w:iCs w:val="false"/>
        </w:rPr>
        <w:tab/>
        <w:t>Transwestern requests that all correspondence and communications concerning this filing be served upon each of the following:</w:t>
      </w:r>
    </w:p>
    <w:p>
      <w:pPr>
        <w:pStyle w:val="Normal"/>
        <w:ind w:start="2160" w:end="0"/>
        <w:rPr>
          <w:sz w:val="24"/>
          <w:szCs w:val="24"/>
        </w:rPr>
      </w:pPr>
      <w:r>
        <w:rPr>
          <w:sz w:val="24"/>
          <w:szCs w:val="24"/>
        </w:rPr>
        <w:t>Mary Kay Miller</w:t>
      </w:r>
    </w:p>
    <w:p>
      <w:pPr>
        <w:pStyle w:val="Normal"/>
        <w:ind w:start="2160" w:end="0"/>
        <w:rPr>
          <w:sz w:val="24"/>
          <w:szCs w:val="24"/>
        </w:rPr>
      </w:pPr>
      <w:r>
        <w:rPr>
          <w:sz w:val="24"/>
          <w:szCs w:val="24"/>
        </w:rPr>
        <w:t>Vice President, Rates &amp; Certificates</w:t>
      </w:r>
    </w:p>
    <w:p>
      <w:pPr>
        <w:pStyle w:val="Normal"/>
        <w:ind w:start="2160" w:end="0"/>
        <w:rPr>
          <w:sz w:val="24"/>
          <w:szCs w:val="24"/>
        </w:rPr>
      </w:pPr>
      <w:r>
        <w:rPr>
          <w:sz w:val="24"/>
          <w:szCs w:val="24"/>
        </w:rPr>
        <w:t>Transwestern Pipeline Company</w:t>
      </w:r>
    </w:p>
    <w:p>
      <w:pPr>
        <w:pStyle w:val="Normal"/>
        <w:ind w:start="2160" w:end="0"/>
        <w:rPr>
          <w:sz w:val="24"/>
          <w:szCs w:val="24"/>
        </w:rPr>
      </w:pPr>
      <w:r>
        <w:rPr>
          <w:sz w:val="24"/>
          <w:szCs w:val="24"/>
        </w:rPr>
        <w:t>1111 South 103rd Street</w:t>
      </w:r>
    </w:p>
    <w:p>
      <w:pPr>
        <w:pStyle w:val="Normal"/>
        <w:ind w:start="2160" w:end="0"/>
        <w:rPr>
          <w:sz w:val="24"/>
          <w:szCs w:val="24"/>
        </w:rPr>
      </w:pPr>
      <w:r>
        <w:rPr>
          <w:sz w:val="24"/>
          <w:szCs w:val="24"/>
        </w:rPr>
        <w:t>Omaha, NE  68124-1000</w:t>
      </w:r>
    </w:p>
    <w:p>
      <w:pPr>
        <w:pStyle w:val="Normal"/>
        <w:ind w:start="2160" w:end="0"/>
        <w:rPr>
          <w:sz w:val="24"/>
          <w:szCs w:val="24"/>
        </w:rPr>
      </w:pPr>
      <w:r>
        <w:rPr>
          <w:sz w:val="24"/>
          <w:szCs w:val="24"/>
        </w:rPr>
        <w:t>(402) 398-7060</w:t>
      </w:r>
    </w:p>
    <w:p>
      <w:pPr>
        <w:pStyle w:val="Normal"/>
        <w:ind w:start="2160" w:end="0"/>
        <w:rPr>
          <w:sz w:val="24"/>
          <w:szCs w:val="24"/>
        </w:rPr>
      </w:pPr>
      <w:r>
        <w:rPr>
          <w:sz w:val="24"/>
          <w:szCs w:val="24"/>
        </w:rPr>
        <w:t>mkmiller@enron.com</w:t>
      </w:r>
    </w:p>
    <w:p>
      <w:pPr>
        <w:pStyle w:val="Normal"/>
        <w:ind w:start="2160" w:end="0"/>
        <w:rPr>
          <w:sz w:val="24"/>
          <w:szCs w:val="24"/>
        </w:rPr>
      </w:pPr>
      <w:r>
        <w:rPr>
          <w:sz w:val="24"/>
          <w:szCs w:val="24"/>
        </w:rPr>
      </w:r>
    </w:p>
    <w:p>
      <w:pPr>
        <w:pStyle w:val="Normal"/>
        <w:ind w:start="2160" w:end="0"/>
        <w:rPr>
          <w:sz w:val="24"/>
          <w:szCs w:val="24"/>
        </w:rPr>
      </w:pPr>
      <w:r>
        <w:rPr>
          <w:sz w:val="24"/>
          <w:szCs w:val="24"/>
        </w:rPr>
        <w:t>Drew J. Fossum</w:t>
      </w:r>
    </w:p>
    <w:p>
      <w:pPr>
        <w:pStyle w:val="Normal"/>
        <w:ind w:start="2160" w:end="0"/>
        <w:rPr>
          <w:sz w:val="24"/>
          <w:szCs w:val="24"/>
        </w:rPr>
      </w:pPr>
      <w:r>
        <w:rPr>
          <w:sz w:val="24"/>
          <w:szCs w:val="24"/>
        </w:rPr>
        <w:t>Vice President and General Counsel</w:t>
      </w:r>
    </w:p>
    <w:p>
      <w:pPr>
        <w:pStyle w:val="Normal"/>
        <w:ind w:start="2160" w:end="0"/>
        <w:rPr>
          <w:sz w:val="24"/>
          <w:szCs w:val="24"/>
        </w:rPr>
      </w:pPr>
      <w:r>
        <w:rPr>
          <w:sz w:val="24"/>
          <w:szCs w:val="24"/>
        </w:rPr>
        <w:t>Transwestern Pipeline Company</w:t>
      </w:r>
    </w:p>
    <w:p>
      <w:pPr>
        <w:pStyle w:val="Normal"/>
        <w:ind w:start="2160" w:end="0"/>
        <w:rPr>
          <w:sz w:val="24"/>
          <w:szCs w:val="24"/>
        </w:rPr>
      </w:pPr>
      <w:r>
        <w:rPr>
          <w:sz w:val="24"/>
          <w:szCs w:val="24"/>
        </w:rPr>
        <w:t>1111 South 103rd Street</w:t>
      </w:r>
    </w:p>
    <w:p>
      <w:pPr>
        <w:pStyle w:val="Normal"/>
        <w:ind w:start="2160" w:end="0"/>
        <w:rPr>
          <w:sz w:val="24"/>
          <w:szCs w:val="24"/>
        </w:rPr>
      </w:pPr>
      <w:r>
        <w:rPr>
          <w:sz w:val="24"/>
          <w:szCs w:val="24"/>
        </w:rPr>
        <w:t>Omaha, NE  68124-1000</w:t>
      </w:r>
    </w:p>
    <w:p>
      <w:pPr>
        <w:pStyle w:val="Normal"/>
        <w:ind w:start="2160" w:end="0"/>
        <w:rPr>
          <w:sz w:val="24"/>
          <w:szCs w:val="24"/>
        </w:rPr>
      </w:pPr>
      <w:r>
        <w:rPr>
          <w:sz w:val="24"/>
          <w:szCs w:val="24"/>
        </w:rPr>
        <w:t>(402) 398-7449</w:t>
      </w:r>
    </w:p>
    <w:p>
      <w:pPr>
        <w:pStyle w:val="Normal"/>
        <w:ind w:start="2160" w:end="0"/>
        <w:rPr>
          <w:sz w:val="24"/>
          <w:szCs w:val="24"/>
        </w:rPr>
      </w:pPr>
      <w:r>
        <w:rPr>
          <w:sz w:val="24"/>
          <w:szCs w:val="24"/>
        </w:rPr>
        <w:t>drew.fossum@enron.com</w:t>
      </w:r>
    </w:p>
    <w:p>
      <w:pPr>
        <w:pStyle w:val="Normal"/>
        <w:ind w:start="2160" w:end="0"/>
        <w:rPr>
          <w:sz w:val="24"/>
          <w:szCs w:val="24"/>
        </w:rPr>
      </w:pPr>
      <w:r>
        <w:rPr>
          <w:sz w:val="24"/>
          <w:szCs w:val="24"/>
        </w:rPr>
      </w:r>
    </w:p>
    <w:p>
      <w:pPr>
        <w:pStyle w:val="Normal"/>
        <w:ind w:start="2160" w:end="0"/>
        <w:rPr>
          <w:sz w:val="24"/>
          <w:szCs w:val="24"/>
        </w:rPr>
      </w:pPr>
      <w:r>
        <w:rPr>
          <w:sz w:val="24"/>
          <w:szCs w:val="24"/>
        </w:rPr>
        <w:t>Frank X. Kelly</w:t>
      </w:r>
    </w:p>
    <w:p>
      <w:pPr>
        <w:pStyle w:val="Normal"/>
        <w:ind w:start="2160" w:end="0"/>
        <w:rPr>
          <w:sz w:val="24"/>
          <w:szCs w:val="24"/>
        </w:rPr>
      </w:pPr>
      <w:r>
        <w:rPr>
          <w:sz w:val="24"/>
          <w:szCs w:val="24"/>
        </w:rPr>
        <w:t>Steve Stojic</w:t>
      </w:r>
    </w:p>
    <w:p>
      <w:pPr>
        <w:pStyle w:val="Normal"/>
        <w:ind w:start="2160" w:end="0"/>
        <w:rPr>
          <w:sz w:val="24"/>
          <w:szCs w:val="24"/>
        </w:rPr>
      </w:pPr>
      <w:r>
        <w:rPr>
          <w:sz w:val="24"/>
          <w:szCs w:val="24"/>
        </w:rPr>
        <w:t xml:space="preserve">Gallagher, Boland and Meiburger </w:t>
      </w:r>
    </w:p>
    <w:p>
      <w:pPr>
        <w:pStyle w:val="Normal"/>
        <w:ind w:start="2160" w:end="0"/>
        <w:rPr>
          <w:sz w:val="24"/>
          <w:szCs w:val="24"/>
        </w:rPr>
      </w:pPr>
      <w:r>
        <w:rPr>
          <w:sz w:val="24"/>
          <w:szCs w:val="24"/>
        </w:rPr>
        <w:t>1023 15th Street, N.W., Suite 900</w:t>
      </w:r>
    </w:p>
    <w:p>
      <w:pPr>
        <w:pStyle w:val="Normal"/>
        <w:ind w:start="2160" w:end="0"/>
        <w:rPr>
          <w:sz w:val="24"/>
          <w:szCs w:val="24"/>
        </w:rPr>
      </w:pPr>
      <w:r>
        <w:rPr>
          <w:sz w:val="24"/>
          <w:szCs w:val="24"/>
        </w:rPr>
        <w:t>Washington, D.C.  20005-2602</w:t>
      </w:r>
    </w:p>
    <w:p>
      <w:pPr>
        <w:pStyle w:val="Normal"/>
        <w:ind w:start="2160" w:end="0"/>
        <w:rPr>
          <w:sz w:val="24"/>
          <w:szCs w:val="24"/>
        </w:rPr>
      </w:pPr>
      <w:r>
        <w:rPr>
          <w:sz w:val="24"/>
          <w:szCs w:val="24"/>
        </w:rPr>
        <w:t>(202) 289-7200</w:t>
      </w:r>
    </w:p>
    <w:p>
      <w:pPr>
        <w:pStyle w:val="Normal"/>
        <w:ind w:start="2160" w:end="0"/>
        <w:rPr>
          <w:sz w:val="24"/>
          <w:szCs w:val="24"/>
          <w:u w:val="single"/>
        </w:rPr>
      </w:pPr>
      <w:r>
        <w:rPr>
          <w:rStyle w:val="Hyperlink"/>
          <w:sz w:val="24"/>
          <w:szCs w:val="24"/>
        </w:rPr>
        <w:t>fkelly@gbmdc.com</w:t>
      </w:r>
    </w:p>
    <w:p>
      <w:pPr>
        <w:pStyle w:val="Normal"/>
        <w:ind w:start="2160" w:end="0"/>
        <w:rPr>
          <w:sz w:val="24"/>
          <w:szCs w:val="24"/>
        </w:rPr>
      </w:pPr>
      <w:r>
        <w:rPr>
          <w:sz w:val="24"/>
          <w:szCs w:val="24"/>
        </w:rPr>
        <w:t>sstojic@gbmdc.com</w:t>
      </w:r>
    </w:p>
    <w:p>
      <w:pPr>
        <w:pStyle w:val="Normal"/>
        <w:ind w:start="2160" w:end="0"/>
        <w:rPr>
          <w:sz w:val="24"/>
          <w:szCs w:val="24"/>
        </w:rPr>
      </w:pPr>
      <w:r>
        <w:rPr>
          <w:sz w:val="24"/>
          <w:szCs w:val="24"/>
        </w:rPr>
      </w:r>
    </w:p>
    <w:p>
      <w:pPr>
        <w:pStyle w:val="Normal"/>
        <w:ind w:start="2160" w:end="0"/>
        <w:rPr>
          <w:sz w:val="24"/>
          <w:szCs w:val="24"/>
        </w:rPr>
      </w:pPr>
      <w:r>
        <w:rPr>
          <w:sz w:val="24"/>
          <w:szCs w:val="24"/>
        </w:rPr>
        <w:t>Susan Scott</w:t>
      </w:r>
    </w:p>
    <w:p>
      <w:pPr>
        <w:pStyle w:val="Normal"/>
        <w:ind w:start="2160" w:end="0"/>
        <w:rPr>
          <w:sz w:val="24"/>
          <w:szCs w:val="24"/>
        </w:rPr>
      </w:pPr>
      <w:r>
        <w:rPr>
          <w:sz w:val="24"/>
          <w:szCs w:val="24"/>
        </w:rPr>
        <w:t>Senior Counsel</w:t>
      </w:r>
    </w:p>
    <w:p>
      <w:pPr>
        <w:pStyle w:val="Normal"/>
        <w:ind w:start="2160" w:end="0"/>
        <w:rPr>
          <w:sz w:val="24"/>
          <w:szCs w:val="24"/>
        </w:rPr>
      </w:pPr>
      <w:r>
        <w:rPr>
          <w:sz w:val="24"/>
          <w:szCs w:val="24"/>
        </w:rPr>
        <w:t>Transwestern Pipeline Company</w:t>
      </w:r>
    </w:p>
    <w:p>
      <w:pPr>
        <w:pStyle w:val="Normal"/>
        <w:ind w:start="2160" w:end="0"/>
        <w:rPr>
          <w:sz w:val="24"/>
          <w:szCs w:val="24"/>
        </w:rPr>
      </w:pPr>
      <w:r>
        <w:rPr>
          <w:sz w:val="24"/>
          <w:szCs w:val="24"/>
        </w:rPr>
        <w:t>1400 Smith Street</w:t>
      </w:r>
    </w:p>
    <w:p>
      <w:pPr>
        <w:pStyle w:val="Normal"/>
        <w:ind w:start="2160" w:end="0"/>
        <w:rPr>
          <w:sz w:val="24"/>
          <w:szCs w:val="24"/>
        </w:rPr>
      </w:pPr>
      <w:r>
        <w:rPr>
          <w:sz w:val="24"/>
          <w:szCs w:val="24"/>
        </w:rPr>
        <w:t>Houston, TX  77002</w:t>
      </w:r>
    </w:p>
    <w:p>
      <w:pPr>
        <w:pStyle w:val="Normal"/>
        <w:ind w:start="2160" w:end="0"/>
        <w:rPr>
          <w:sz w:val="24"/>
          <w:szCs w:val="24"/>
        </w:rPr>
      </w:pPr>
      <w:r>
        <w:rPr>
          <w:sz w:val="24"/>
          <w:szCs w:val="24"/>
        </w:rPr>
        <w:t>(713) 853-0596</w:t>
      </w:r>
    </w:p>
    <w:p>
      <w:pPr>
        <w:pStyle w:val="Normal"/>
        <w:ind w:start="2160" w:end="0"/>
        <w:rPr>
          <w:sz w:val="24"/>
          <w:szCs w:val="24"/>
        </w:rPr>
      </w:pPr>
      <w:r>
        <w:rPr>
          <w:sz w:val="24"/>
          <w:szCs w:val="24"/>
        </w:rPr>
        <w:t>susan.scott@enron.com</w:t>
      </w:r>
    </w:p>
    <w:p>
      <w:pPr>
        <w:pStyle w:val="Normal"/>
        <w:rPr>
          <w:sz w:val="24"/>
          <w:szCs w:val="24"/>
        </w:rPr>
      </w:pPr>
      <w:r>
        <w:rPr>
          <w:sz w:val="24"/>
          <w:szCs w:val="24"/>
        </w:rPr>
      </w:r>
    </w:p>
    <w:p>
      <w:pPr>
        <w:pStyle w:val="Normal"/>
        <w:tabs>
          <w:tab w:val="clear" w:pos="720"/>
          <w:tab w:val="left" w:pos="3960" w:leader="none"/>
        </w:tabs>
        <w:rPr>
          <w:sz w:val="24"/>
          <w:szCs w:val="24"/>
        </w:rPr>
      </w:pPr>
      <w:r>
        <w:rPr>
          <w:sz w:val="24"/>
          <w:szCs w:val="24"/>
        </w:rPr>
        <w:t>Respectfully submitted,</w:t>
      </w:r>
    </w:p>
    <w:p>
      <w:pPr>
        <w:pStyle w:val="Normal"/>
        <w:tabs>
          <w:tab w:val="clear" w:pos="720"/>
          <w:tab w:val="left" w:pos="3960" w:leader="none"/>
        </w:tabs>
        <w:rPr>
          <w:sz w:val="24"/>
          <w:szCs w:val="24"/>
        </w:rPr>
      </w:pPr>
      <w:r>
        <w:rPr>
          <w:sz w:val="24"/>
          <w:szCs w:val="24"/>
        </w:rPr>
      </w:r>
    </w:p>
    <w:p>
      <w:pPr>
        <w:pStyle w:val="Normal"/>
        <w:tabs>
          <w:tab w:val="clear" w:pos="720"/>
          <w:tab w:val="left" w:pos="3960" w:leader="none"/>
        </w:tabs>
        <w:rPr>
          <w:sz w:val="24"/>
          <w:szCs w:val="24"/>
        </w:rPr>
      </w:pPr>
      <w:r>
        <w:rPr>
          <w:sz w:val="24"/>
          <w:szCs w:val="24"/>
        </w:rPr>
      </w:r>
    </w:p>
    <w:p>
      <w:pPr>
        <w:pStyle w:val="Normal"/>
        <w:tabs>
          <w:tab w:val="clear" w:pos="720"/>
          <w:tab w:val="left" w:pos="3960" w:leader="none"/>
        </w:tabs>
        <w:rPr>
          <w:sz w:val="24"/>
          <w:szCs w:val="24"/>
        </w:rPr>
      </w:pPr>
      <w:r>
        <w:rPr>
          <w:sz w:val="24"/>
          <w:szCs w:val="24"/>
        </w:rPr>
      </w:r>
    </w:p>
    <w:p>
      <w:pPr>
        <w:pStyle w:val="Normal"/>
        <w:tabs>
          <w:tab w:val="clear" w:pos="720"/>
          <w:tab w:val="left" w:pos="3960" w:leader="none"/>
        </w:tabs>
        <w:rPr>
          <w:sz w:val="24"/>
          <w:szCs w:val="24"/>
        </w:rPr>
      </w:pPr>
      <w:r>
        <w:rPr>
          <w:sz w:val="24"/>
          <w:szCs w:val="24"/>
        </w:rPr>
        <w:t>Mary Kay Miller</w:t>
      </w:r>
    </w:p>
    <w:p>
      <w:pPr>
        <w:pStyle w:val="Normal"/>
        <w:rPr>
          <w:sz w:val="24"/>
          <w:szCs w:val="24"/>
        </w:rPr>
      </w:pPr>
      <w:r>
        <w:rPr>
          <w:sz w:val="24"/>
          <w:szCs w:val="24"/>
        </w:rPr>
        <w:t>Vice President, Rates and Certificates</w:t>
      </w:r>
      <w:r>
        <w:rPr>
          <w:rStyle w:val="Emphasis"/>
          <w:rFonts w:eastAsia="Verdana" w:cs="Verdana" w:ascii="Verdana" w:hAnsi="Verdana"/>
        </w:rPr>
        <w:t xml:space="preserve"> </w:t>
      </w:r>
    </w:p>
    <w:p>
      <w:pPr>
        <w:pStyle w:val="Normal"/>
        <w:ind w:start="300" w:end="300"/>
        <w:rPr>
          <w:rFonts w:ascii="Verdana" w:hAnsi="Verdana" w:eastAsia="Verdana" w:cs="Verdana"/>
          <w:sz w:val="24"/>
          <w:szCs w:val="24"/>
        </w:rPr>
      </w:pPr>
      <w:r>
        <w:rPr>
          <w:rFonts w:eastAsia="Verdana" w:cs="Verdana" w:ascii="Verdana" w:hAnsi="Verdana"/>
          <w:sz w:val="24"/>
          <w:szCs w:val="24"/>
        </w:rPr>
      </w:r>
    </w:p>
    <w:sectPr>
      <w:footnotePr>
        <w:numFmt w:val="decimal"/>
      </w:footnote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Verdana">
    <w:charset w:val="01"/>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Alternative Rates Policy Statement (RM95-6-000) </w:t>
      </w:r>
      <w:r>
        <w:rPr>
          <w:i/>
          <w:iCs/>
        </w:rPr>
        <w:t>[cite]</w:t>
      </w:r>
    </w:p>
  </w:footnote>
  <w:footnote w:id="3">
    <w:p>
      <w:pPr>
        <w:pStyle w:val="Normal"/>
        <w:rPr/>
      </w:pPr>
      <w:r>
        <w:rPr>
          <w:rStyle w:val="FootnoteCharacters"/>
        </w:rPr>
        <w:footnoteRef/>
      </w:r>
      <w:r>
        <w:rPr/>
        <w:t xml:space="preserve"> </w:t>
      </w:r>
      <w:r>
        <w:rPr>
          <w:u w:val="single"/>
        </w:rPr>
        <w:t>See</w:t>
      </w:r>
      <w:r>
        <w:rPr/>
        <w:t xml:space="preserve">, </w:t>
      </w:r>
      <w:r>
        <w:rPr>
          <w:u w:val="single"/>
        </w:rPr>
        <w:t>e.g.</w:t>
      </w:r>
      <w:r>
        <w:rPr/>
        <w:t xml:space="preserve">, </w:t>
      </w:r>
      <w:r>
        <w:rPr>
          <w:u w:val="single"/>
        </w:rPr>
        <w:t>Iroquois Gas Transmission System</w:t>
      </w:r>
      <w:r>
        <w:rPr/>
        <w:t xml:space="preserve">, </w:t>
      </w:r>
      <w:r>
        <w:rPr>
          <w:rStyle w:val="Emphasis"/>
          <w:i w:val="false"/>
          <w:iCs w:val="false"/>
        </w:rPr>
        <w:t xml:space="preserve">80 FERC ¶ 61,199 (1997); </w:t>
      </w:r>
      <w:r>
        <w:rPr>
          <w:rStyle w:val="Emphasis"/>
          <w:i w:val="false"/>
          <w:iCs w:val="false"/>
          <w:u w:val="single"/>
        </w:rPr>
        <w:t>Panhandle Eastern Pipe Line Company</w:t>
      </w:r>
      <w:r>
        <w:rPr>
          <w:rStyle w:val="Emphasis"/>
          <w:i w:val="false"/>
          <w:iCs w:val="false"/>
        </w:rPr>
        <w:t xml:space="preserve">, 79 FERC ¶ 61,019, </w:t>
      </w:r>
      <w:r>
        <w:rPr>
          <w:rStyle w:val="Emphasis"/>
        </w:rPr>
        <w:t xml:space="preserve">order on reh'g, </w:t>
      </w:r>
      <w:r>
        <w:rPr>
          <w:rStyle w:val="Emphasis"/>
          <w:i w:val="false"/>
          <w:iCs w:val="false"/>
        </w:rPr>
        <w:t xml:space="preserve">80 FERC ¶ 61,198, </w:t>
      </w:r>
      <w:r>
        <w:rPr>
          <w:rStyle w:val="Emphasis"/>
        </w:rPr>
        <w:t>order on reh'g</w:t>
      </w:r>
      <w:r>
        <w:rPr>
          <w:rStyle w:val="Emphasis"/>
          <w:i w:val="false"/>
          <w:iCs w:val="false"/>
        </w:rPr>
        <w:t xml:space="preserve">, 82 FERC ¶ 61,199 (1998). </w:t>
      </w:r>
      <w:r>
        <w:rPr>
          <w:rStyle w:val="Emphasis"/>
          <w:i w:val="false"/>
          <w:iCs w:val="false"/>
          <w:sz w:val="24"/>
          <w:szCs w:val="24"/>
        </w:rPr>
        <w:t xml:space="preserve"> </w:t>
      </w:r>
    </w:p>
    <w:p>
      <w:pPr>
        <w:pStyle w:val="Normal"/>
        <w:rPr>
          <w:rStyle w:val="Emphasis"/>
          <w:i w:val="false"/>
          <w:i w:val="false"/>
          <w:iCs w:val="false"/>
          <w:sz w:val="24"/>
          <w:szCs w:val="24"/>
        </w:rPr>
      </w:pPr>
      <w:r>
        <w:rPr/>
      </w:r>
    </w:p>
  </w:footnote>
  <w:footnote w:id="4">
    <w:p>
      <w:pPr>
        <w:pStyle w:val="FootnoteText"/>
        <w:rPr/>
      </w:pPr>
      <w:r>
        <w:rPr>
          <w:rStyle w:val="FootnoteCharacters"/>
        </w:rPr>
        <w:footnoteRef/>
      </w:r>
      <w:r>
        <w:rPr/>
        <w:t xml:space="preserve"> </w:t>
      </w:r>
      <w:r>
        <w:rPr>
          <w:u w:val="single"/>
        </w:rPr>
        <w:t>See</w:t>
      </w:r>
      <w:r>
        <w:rPr/>
        <w:t xml:space="preserve"> </w:t>
      </w:r>
      <w:r>
        <w:rPr>
          <w:u w:val="single"/>
        </w:rPr>
        <w:t>Panhandle Eastern</w:t>
      </w:r>
      <w:r>
        <w:rPr/>
        <w:t>, 82 FERC at p. _____, in which the Commission approved Panhandle's calculation of highest percentage based on total contract rate, and use of a 100 percent load factor rate for negotiated rates.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outlineLvl w:val="0"/>
    </w:pPr>
    <w:rPr>
      <w:sz w:val="24"/>
      <w:szCs w:val="24"/>
    </w:rPr>
  </w:style>
  <w:style w:type="paragraph" w:styleId="Heading2">
    <w:name w:val="heading 2"/>
    <w:basedOn w:val="Normal"/>
    <w:next w:val="Normal"/>
    <w:qFormat/>
    <w:pPr>
      <w:keepNext w:val="true"/>
      <w:numPr>
        <w:ilvl w:val="1"/>
        <w:numId w:val="1"/>
      </w:numPr>
      <w:jc w:val="center"/>
      <w:outlineLvl w:val="1"/>
    </w:pPr>
    <w:rPr>
      <w:sz w:val="24"/>
      <w:szCs w:val="24"/>
    </w:rPr>
  </w:style>
  <w:style w:type="character" w:styleId="DefaultParagraphFont">
    <w:name w:val="Default Paragraph Font"/>
    <w:qFormat/>
    <w:rPr/>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sz w:val="24"/>
      <w:szCs w:val="24"/>
    </w:rPr>
  </w:style>
  <w:style w:type="paragraph" w:styleId="BodyText">
    <w:name w:val="Body Text"/>
    <w:basedOn w:val="Normal"/>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i/>
      <w:iCs/>
      <w:sz w:val="24"/>
      <w:szCs w:val="24"/>
    </w:rPr>
  </w:style>
  <w:style w:type="paragraph" w:styleId="WW-BodyText2">
    <w:name w:val="WW-Body Text 2"/>
    <w:basedOn w:val="Normal"/>
    <w:qFormat/>
    <w:pPr>
      <w:spacing w:lineRule="auto" w:line="360"/>
      <w:ind w:firstLine="720" w:start="0" w:end="0"/>
    </w:pPr>
    <w:rPr>
      <w:sz w:val="24"/>
      <w:szCs w:val="24"/>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2001-01-30T19:11:00Z</dcterms:created>
  <dc:creator>Susan Scott</dc:creator>
  <dc:description/>
  <dc:language>en-CA</dc:language>
  <cp:lastModifiedBy>Susan Scott</cp:lastModifiedBy>
  <dcterms:modified xsi:type="dcterms:W3CDTF">2001-01-31T19:30:00Z</dcterms:modified>
  <cp:revision>4</cp:revision>
  <dc:subject/>
  <dc:title>February __, 2001</dc:title>
</cp:coreProperties>
</file>