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pPr>
      <w:r>
        <w:rPr/>
        <w:t>Good morning.  I want to thank Alstom ESCA for allowing me the opportunity to present some thoughts on the future of the electricity market.  I believe strongly that our industry needs additional opportunities like this meeting to discuss and solve current and future problems.</w:t>
      </w:r>
    </w:p>
    <w:p>
      <w:pPr>
        <w:pStyle w:val="BodyText"/>
        <w:jc w:val="both"/>
        <w:rPr/>
      </w:pPr>
      <w:r>
        <w:rPr/>
      </w:r>
    </w:p>
    <w:p>
      <w:pPr>
        <w:pStyle w:val="Normal"/>
        <w:spacing w:lineRule="auto" w:line="480"/>
        <w:jc w:val="both"/>
        <w:rPr>
          <w:rFonts w:ascii="Arial" w:hAnsi="Arial" w:cs="Arial"/>
          <w:sz w:val="28"/>
        </w:rPr>
      </w:pPr>
      <w:r>
        <w:rPr>
          <w:rFonts w:cs="Arial" w:ascii="Arial" w:hAnsi="Arial"/>
          <w:sz w:val="28"/>
        </w:rPr>
        <w:t xml:space="preserve">Before I launch into my thoughts, I want to outline my perspective on electricity markets.  </w:t>
      </w:r>
    </w:p>
    <w:p>
      <w:pPr>
        <w:pStyle w:val="Normal"/>
        <w:spacing w:lineRule="auto" w:line="480"/>
        <w:jc w:val="both"/>
        <w:rPr>
          <w:rFonts w:ascii="Arial" w:hAnsi="Arial" w:cs="Arial"/>
          <w:sz w:val="28"/>
        </w:rPr>
      </w:pPr>
      <w:r>
        <w:rPr>
          <w:rFonts w:cs="Arial" w:ascii="Arial" w:hAnsi="Arial"/>
          <w:sz w:val="28"/>
        </w:rPr>
      </w:r>
    </w:p>
    <w:p>
      <w:pPr>
        <w:pStyle w:val="Normal"/>
        <w:spacing w:lineRule="auto" w:line="480"/>
        <w:jc w:val="both"/>
        <w:rPr>
          <w:rFonts w:ascii="Arial" w:hAnsi="Arial" w:cs="Arial"/>
          <w:sz w:val="28"/>
        </w:rPr>
      </w:pPr>
      <w:r>
        <w:rPr>
          <w:rFonts w:cs="Arial" w:ascii="Arial" w:hAnsi="Arial"/>
          <w:sz w:val="28"/>
        </w:rPr>
        <w:t>Enron develops and operates “networks” primarily in energy and communications.  We combine physical assets with contractual rights to make markets.  Enron is competing to make markets in everything from electricity to bandwidth to the weather.</w:t>
      </w:r>
    </w:p>
    <w:p>
      <w:pPr>
        <w:pStyle w:val="Normal"/>
        <w:spacing w:lineRule="auto" w:line="480"/>
        <w:jc w:val="both"/>
        <w:rPr>
          <w:rFonts w:ascii="Arial" w:hAnsi="Arial" w:cs="Arial"/>
          <w:sz w:val="28"/>
        </w:rPr>
      </w:pPr>
      <w:r>
        <w:rPr>
          <w:rFonts w:cs="Arial" w:ascii="Arial" w:hAnsi="Arial"/>
          <w:sz w:val="28"/>
        </w:rPr>
      </w:r>
    </w:p>
    <w:p>
      <w:pPr>
        <w:pStyle w:val="Normal"/>
        <w:spacing w:lineRule="auto" w:line="480"/>
        <w:jc w:val="both"/>
        <w:rPr>
          <w:rFonts w:ascii="Arial" w:hAnsi="Arial" w:cs="Arial"/>
          <w:sz w:val="28"/>
        </w:rPr>
      </w:pPr>
      <w:r>
        <w:rPr>
          <w:rFonts w:cs="Arial" w:ascii="Arial" w:hAnsi="Arial"/>
          <w:sz w:val="28"/>
        </w:rPr>
        <w:t>Enron is the largest buyer and seller of electricity in North America.  We participate in energy markets throughout the world.</w:t>
      </w:r>
    </w:p>
    <w:p>
      <w:pPr>
        <w:pStyle w:val="Normal"/>
        <w:spacing w:lineRule="auto" w:line="480"/>
        <w:jc w:val="both"/>
        <w:rPr>
          <w:rFonts w:ascii="Arial" w:hAnsi="Arial" w:cs="Arial"/>
          <w:sz w:val="28"/>
        </w:rPr>
      </w:pPr>
      <w:r>
        <w:rPr>
          <w:rFonts w:cs="Arial" w:ascii="Arial" w:hAnsi="Arial"/>
          <w:sz w:val="28"/>
        </w:rPr>
      </w:r>
    </w:p>
    <w:p>
      <w:pPr>
        <w:pStyle w:val="Normal"/>
        <w:spacing w:lineRule="auto" w:line="480"/>
        <w:jc w:val="both"/>
        <w:rPr/>
      </w:pPr>
      <w:r>
        <w:rPr>
          <w:rFonts w:cs="Arial" w:ascii="Arial" w:hAnsi="Arial"/>
          <w:sz w:val="28"/>
        </w:rPr>
        <w:t xml:space="preserve">Our perspective on the electricity market is a uniquely objective one:  we both buy </w:t>
      </w:r>
      <w:r>
        <w:rPr>
          <w:rFonts w:cs="Arial" w:ascii="Arial" w:hAnsi="Arial"/>
          <w:sz w:val="28"/>
          <w:u w:val="single"/>
        </w:rPr>
        <w:t>and</w:t>
      </w:r>
      <w:r>
        <w:rPr>
          <w:rFonts w:cs="Arial" w:ascii="Arial" w:hAnsi="Arial"/>
          <w:sz w:val="28"/>
        </w:rPr>
        <w:t xml:space="preserve"> sell power.   We are neither a net generator nor a net consumer of electricity.  </w:t>
      </w:r>
    </w:p>
    <w:p>
      <w:pPr>
        <w:pStyle w:val="Normal"/>
        <w:spacing w:lineRule="auto" w:line="480"/>
        <w:jc w:val="both"/>
        <w:rPr>
          <w:rFonts w:ascii="Arial" w:hAnsi="Arial" w:cs="Arial"/>
          <w:sz w:val="28"/>
        </w:rPr>
      </w:pPr>
      <w:r>
        <w:rPr>
          <w:rFonts w:cs="Arial" w:ascii="Arial" w:hAnsi="Arial"/>
          <w:sz w:val="28"/>
        </w:rPr>
        <w:t xml:space="preserve">We make markets in electricity to allow us to serve both producers and consumers.  For instance, we sell protection from price volatility to both producers and consumers.  To do this, we need to ensure that electricity markets work well.  Let me repeat that – Enron wants electricity markets to work well.  That’s what enables us to do business.  </w:t>
      </w:r>
    </w:p>
    <w:p>
      <w:pPr>
        <w:pStyle w:val="BodyText2"/>
        <w:jc w:val="both"/>
        <w:rPr>
          <w:rFonts w:ascii="Arial" w:hAnsi="Arial" w:cs="Arial"/>
          <w:sz w:val="28"/>
        </w:rPr>
      </w:pPr>
      <w:r>
        <w:rPr>
          <w:rFonts w:cs="Arial"/>
          <w:sz w:val="28"/>
        </w:rPr>
      </w:r>
    </w:p>
    <w:p>
      <w:pPr>
        <w:pStyle w:val="Normal"/>
        <w:spacing w:lineRule="auto" w:line="480"/>
        <w:jc w:val="both"/>
        <w:rPr>
          <w:rFonts w:ascii="Arial" w:hAnsi="Arial" w:cs="Arial"/>
          <w:sz w:val="28"/>
        </w:rPr>
      </w:pPr>
      <w:r>
        <w:rPr>
          <w:rFonts w:cs="Arial" w:ascii="Arial" w:hAnsi="Arial"/>
          <w:sz w:val="28"/>
        </w:rPr>
        <w:t>Given our perspective, I would first like to give you my thoughts on the current California crisis.  I will try to identify what happened, what the problems are, and some potential solutions policymakers can implement.  After discussing California, I will outline the necessary market structures and regulatory reforms that will ensure that our electricity market is well functioning going forward.</w:t>
      </w:r>
    </w:p>
    <w:p>
      <w:pPr>
        <w:pStyle w:val="Normal"/>
        <w:spacing w:lineRule="auto" w:line="480"/>
        <w:jc w:val="both"/>
        <w:rPr>
          <w:rFonts w:ascii="Arial" w:hAnsi="Arial" w:cs="Arial"/>
          <w:sz w:val="28"/>
        </w:rPr>
      </w:pPr>
      <w:r>
        <w:rPr>
          <w:rFonts w:cs="Arial" w:ascii="Arial" w:hAnsi="Arial"/>
          <w:sz w:val="28"/>
        </w:rPr>
      </w:r>
    </w:p>
    <w:p>
      <w:pPr>
        <w:pStyle w:val="Normal"/>
        <w:spacing w:lineRule="auto" w:line="480"/>
        <w:jc w:val="both"/>
        <w:rPr>
          <w:rFonts w:ascii="Arial" w:hAnsi="Arial" w:cs="Arial"/>
          <w:sz w:val="28"/>
        </w:rPr>
      </w:pPr>
      <w:r>
        <w:rPr>
          <w:rFonts w:cs="Arial" w:ascii="Arial" w:hAnsi="Arial"/>
          <w:sz w:val="28"/>
        </w:rPr>
        <w:t>First and foremost, I want to stress that I believe California needs to focus on fixing the problems, not fixing blame.  As important, California is just the latest problem area in US power markets, and, unless policymakers act quickly, it will not be the last.</w:t>
      </w:r>
    </w:p>
    <w:p>
      <w:pPr>
        <w:pStyle w:val="Normal"/>
        <w:spacing w:lineRule="auto" w:line="480"/>
        <w:jc w:val="both"/>
        <w:rPr>
          <w:rFonts w:ascii="Arial" w:hAnsi="Arial" w:cs="Arial"/>
          <w:sz w:val="28"/>
        </w:rPr>
      </w:pPr>
      <w:r>
        <w:rPr>
          <w:rFonts w:cs="Arial" w:ascii="Arial" w:hAnsi="Arial"/>
          <w:sz w:val="28"/>
        </w:rPr>
      </w:r>
    </w:p>
    <w:p>
      <w:pPr>
        <w:pStyle w:val="Normal"/>
        <w:spacing w:lineRule="auto" w:line="480"/>
        <w:jc w:val="both"/>
        <w:rPr>
          <w:rFonts w:ascii="Arial" w:hAnsi="Arial" w:cs="Arial"/>
          <w:sz w:val="28"/>
        </w:rPr>
      </w:pPr>
      <w:r>
        <w:rPr>
          <w:rFonts w:cs="Arial" w:ascii="Arial" w:hAnsi="Arial"/>
          <w:sz w:val="28"/>
        </w:rPr>
        <w:t xml:space="preserve">The problems in California this summer – spiking prices and threats to reliability – have straightforward causes.  </w:t>
      </w:r>
    </w:p>
    <w:p>
      <w:pPr>
        <w:pStyle w:val="Normal"/>
        <w:spacing w:lineRule="auto" w:line="480"/>
        <w:jc w:val="both"/>
        <w:rPr>
          <w:rFonts w:ascii="Arial" w:hAnsi="Arial" w:cs="Arial"/>
          <w:sz w:val="28"/>
        </w:rPr>
      </w:pPr>
      <w:r>
        <w:rPr>
          <w:rFonts w:cs="Arial" w:ascii="Arial" w:hAnsi="Arial"/>
          <w:sz w:val="28"/>
        </w:rPr>
      </w:r>
    </w:p>
    <w:p>
      <w:pPr>
        <w:pStyle w:val="Normal"/>
        <w:spacing w:lineRule="auto" w:line="480"/>
        <w:jc w:val="both"/>
        <w:rPr>
          <w:rFonts w:ascii="Arial" w:hAnsi="Arial" w:cs="Arial"/>
          <w:sz w:val="28"/>
        </w:rPr>
      </w:pPr>
      <w:r>
        <w:rPr>
          <w:rFonts w:cs="Arial" w:ascii="Arial" w:hAnsi="Arial"/>
          <w:sz w:val="28"/>
        </w:rPr>
        <w:t>Let’s look at the facts:</w:t>
      </w:r>
    </w:p>
    <w:p>
      <w:pPr>
        <w:pStyle w:val="Normal"/>
        <w:numPr>
          <w:ilvl w:val="0"/>
          <w:numId w:val="4"/>
        </w:numPr>
        <w:spacing w:lineRule="auto" w:line="480"/>
        <w:ind w:hanging="720" w:start="720" w:end="0"/>
        <w:jc w:val="both"/>
        <w:rPr>
          <w:rFonts w:ascii="Arial" w:hAnsi="Arial" w:cs="Arial"/>
          <w:sz w:val="28"/>
        </w:rPr>
      </w:pPr>
      <w:r>
        <w:rPr>
          <w:rFonts w:cs="Arial" w:ascii="Arial" w:hAnsi="Arial"/>
          <w:sz w:val="28"/>
        </w:rPr>
        <w:t>A booming economy has increased power demand in California and throughout the West well beyond earlier forecasts,</w:t>
      </w:r>
    </w:p>
    <w:p>
      <w:pPr>
        <w:pStyle w:val="Normal"/>
        <w:numPr>
          <w:ilvl w:val="0"/>
          <w:numId w:val="4"/>
        </w:numPr>
        <w:spacing w:lineRule="auto" w:line="480"/>
        <w:ind w:hanging="720" w:start="720" w:end="0"/>
        <w:jc w:val="both"/>
        <w:rPr>
          <w:rFonts w:ascii="Arial" w:hAnsi="Arial" w:cs="Arial"/>
          <w:sz w:val="28"/>
        </w:rPr>
      </w:pPr>
      <w:r>
        <w:rPr>
          <w:rFonts w:cs="Arial" w:ascii="Arial" w:hAnsi="Arial"/>
          <w:sz w:val="28"/>
        </w:rPr>
        <w:t>Siting new power generation is very difficult in California, so supply has not kept pace with this rapidly growing demand</w:t>
      </w:r>
      <w:r>
        <w:rPr>
          <w:rStyle w:val="FootnoteCharacters"/>
          <w:rStyle w:val="FootnoteReference"/>
          <w:rFonts w:cs="Arial" w:ascii="Arial" w:hAnsi="Arial"/>
          <w:sz w:val="28"/>
        </w:rPr>
        <w:footnoteReference w:id="2"/>
      </w:r>
      <w:r>
        <w:rPr>
          <w:rFonts w:cs="Arial" w:ascii="Arial" w:hAnsi="Arial"/>
          <w:sz w:val="28"/>
        </w:rPr>
        <w:t>,</w:t>
      </w:r>
    </w:p>
    <w:p>
      <w:pPr>
        <w:pStyle w:val="Normal"/>
        <w:numPr>
          <w:ilvl w:val="0"/>
          <w:numId w:val="4"/>
        </w:numPr>
        <w:spacing w:lineRule="auto" w:line="480"/>
        <w:ind w:hanging="720" w:start="720" w:end="0"/>
        <w:jc w:val="both"/>
        <w:rPr>
          <w:rFonts w:ascii="Arial" w:hAnsi="Arial" w:cs="Arial"/>
          <w:sz w:val="28"/>
        </w:rPr>
      </w:pPr>
      <w:r>
        <w:rPr>
          <w:rFonts w:cs="Arial" w:ascii="Arial" w:hAnsi="Arial"/>
          <w:sz w:val="28"/>
        </w:rPr>
        <w:t xml:space="preserve">Electricity production from Pacific Northwest hydro facilities has been lower than in recent years, thus sharpening the problem, </w:t>
      </w:r>
    </w:p>
    <w:p>
      <w:pPr>
        <w:pStyle w:val="BodyTextIndent"/>
        <w:numPr>
          <w:ilvl w:val="0"/>
          <w:numId w:val="4"/>
        </w:numPr>
        <w:spacing w:lineRule="auto" w:line="480"/>
        <w:ind w:hanging="720" w:start="720" w:end="0"/>
        <w:jc w:val="both"/>
        <w:rPr/>
      </w:pPr>
      <w:r>
        <w:rPr/>
        <w:t>There is still very little consumer response to rising prices, and</w:t>
      </w:r>
    </w:p>
    <w:p>
      <w:pPr>
        <w:pStyle w:val="BodyTextIndent"/>
        <w:numPr>
          <w:ilvl w:val="0"/>
          <w:numId w:val="4"/>
        </w:numPr>
        <w:spacing w:lineRule="auto" w:line="480"/>
        <w:ind w:hanging="720" w:start="720" w:end="0"/>
        <w:jc w:val="both"/>
        <w:rPr/>
      </w:pPr>
      <w:r>
        <w:rPr/>
        <w:t xml:space="preserve">Utilities were unable to manage the price risk associated with their default obligations.  </w:t>
      </w:r>
    </w:p>
    <w:p>
      <w:pPr>
        <w:pStyle w:val="BodyTextIndent"/>
        <w:spacing w:lineRule="auto" w:line="480"/>
        <w:ind w:start="0" w:end="0"/>
        <w:jc w:val="both"/>
        <w:rPr/>
      </w:pPr>
      <w:r>
        <w:rPr/>
      </w:r>
    </w:p>
    <w:p>
      <w:pPr>
        <w:pStyle w:val="BodyTextIndent"/>
        <w:spacing w:lineRule="auto" w:line="480"/>
        <w:ind w:start="0" w:end="0"/>
        <w:jc w:val="both"/>
        <w:rPr/>
      </w:pPr>
      <w:r>
        <w:rPr/>
        <w:t xml:space="preserve">In a typical market, when prices rise, consumers respond by buying less.  Electricity shouldn’t be different.  There are consumers, particularly certain larger commercial, institutional, and industrial customers who have flexibility in how much and when they consume power.  </w:t>
      </w:r>
    </w:p>
    <w:p>
      <w:pPr>
        <w:pStyle w:val="BodyTextIndent"/>
        <w:spacing w:lineRule="auto" w:line="480"/>
        <w:ind w:start="0" w:end="0"/>
        <w:jc w:val="both"/>
        <w:rPr/>
      </w:pPr>
      <w:r>
        <w:rPr/>
        <w:t xml:space="preserve">Their flexibility to reduce usage at critical times can bring overall market prices down.  Inflexible tariff and contract structures prevent much of that demand response from materializing because too many customers with flexibility do not get price signals that trigger conservation. </w:t>
      </w:r>
    </w:p>
    <w:p>
      <w:pPr>
        <w:pStyle w:val="BodyTextIndent"/>
        <w:spacing w:lineRule="auto" w:line="480"/>
        <w:ind w:start="0" w:end="0"/>
        <w:jc w:val="both"/>
        <w:rPr/>
      </w:pPr>
      <w:r>
        <w:rPr/>
      </w:r>
    </w:p>
    <w:p>
      <w:pPr>
        <w:pStyle w:val="BodyTextIndent"/>
        <w:spacing w:lineRule="auto" w:line="480"/>
        <w:ind w:start="0" w:end="0"/>
        <w:jc w:val="both"/>
        <w:rPr/>
      </w:pPr>
      <w:r>
        <w:rPr/>
        <w:t>An added fact compounded the situation in California this summer.  The local utilities, which still supply most of the residential load in the state, were restricted in their ability to manage their price risk by hedging.  In fact, there have been offers from power marketers to San Diego Gas &amp; Electric to sell power at fixed, predictable rates for 4 to 5 years at costs below this summer’s prices.  Unfortunately, San Diego Gas &amp; Electric was unable to accept those offers.  So, consumers in San Diego are left not only with higher prices, they are also left with tremendous price volatility.</w:t>
      </w:r>
      <w:r>
        <w:rPr>
          <w:rStyle w:val="FootnoteCharacters"/>
          <w:rStyle w:val="FootnoteReference"/>
        </w:rPr>
        <w:footnoteReference w:id="3"/>
      </w:r>
    </w:p>
    <w:p>
      <w:pPr>
        <w:pStyle w:val="BodyTextIndent"/>
        <w:spacing w:lineRule="auto" w:line="480"/>
        <w:ind w:start="0" w:end="0"/>
        <w:jc w:val="both"/>
        <w:rPr/>
      </w:pPr>
      <w:r>
        <w:rPr/>
      </w:r>
    </w:p>
    <w:p>
      <w:pPr>
        <w:pStyle w:val="BodyTextIndent"/>
        <w:spacing w:lineRule="auto" w:line="480"/>
        <w:ind w:start="0" w:end="0"/>
        <w:jc w:val="both"/>
        <w:rPr/>
      </w:pPr>
      <w:r>
        <w:rPr/>
        <w:t>Against this backdrop, here are some workable solutions:</w:t>
      </w:r>
    </w:p>
    <w:p>
      <w:pPr>
        <w:pStyle w:val="BodyTextIndent"/>
        <w:numPr>
          <w:ilvl w:val="0"/>
          <w:numId w:val="3"/>
        </w:numPr>
        <w:spacing w:lineRule="auto" w:line="480"/>
        <w:ind w:hanging="1080" w:start="1080" w:end="0"/>
        <w:jc w:val="both"/>
        <w:rPr/>
      </w:pPr>
      <w:r>
        <w:rPr/>
        <w:t>New power plants must be sited, built and interconnected quickly to begin to meet the growing demand,</w:t>
      </w:r>
    </w:p>
    <w:p>
      <w:pPr>
        <w:pStyle w:val="BodyTextIndent"/>
        <w:numPr>
          <w:ilvl w:val="0"/>
          <w:numId w:val="3"/>
        </w:numPr>
        <w:spacing w:lineRule="auto" w:line="480"/>
        <w:ind w:hanging="1080" w:start="1080" w:end="0"/>
        <w:jc w:val="both"/>
        <w:rPr/>
      </w:pPr>
      <w:r>
        <w:rPr/>
        <w:t xml:space="preserve">Customers, including the utilities buying for consumers who have not selected marketers, must be permitted to “hedge” to transfer their price risk to those that can manage it, and </w:t>
      </w:r>
    </w:p>
    <w:p>
      <w:pPr>
        <w:pStyle w:val="BodyTextIndent"/>
        <w:numPr>
          <w:ilvl w:val="0"/>
          <w:numId w:val="3"/>
        </w:numPr>
        <w:spacing w:lineRule="auto" w:line="480"/>
        <w:ind w:hanging="1080" w:start="1080" w:end="0"/>
        <w:jc w:val="both"/>
        <w:rPr/>
      </w:pPr>
      <w:r>
        <w:rPr/>
        <w:t>Consumers need to be made more aware of their ability to choose a competitive marketer and transfer their volumetric and price risk to those parties that do a better job of managing demand and price volatility.</w:t>
      </w:r>
    </w:p>
    <w:p>
      <w:pPr>
        <w:pStyle w:val="BodyTextIndent"/>
        <w:spacing w:lineRule="auto" w:line="480"/>
        <w:ind w:start="0" w:end="0"/>
        <w:jc w:val="both"/>
        <w:rPr/>
      </w:pPr>
      <w:r>
        <w:rPr/>
      </w:r>
    </w:p>
    <w:p>
      <w:pPr>
        <w:pStyle w:val="BodyTextIndent"/>
        <w:spacing w:lineRule="auto" w:line="480"/>
        <w:ind w:start="0" w:end="0"/>
        <w:jc w:val="both"/>
        <w:rPr/>
      </w:pPr>
      <w:r>
        <w:rPr/>
        <w:t xml:space="preserve">These solutions can be helped along by state and federal actions.  For example, </w:t>
      </w:r>
    </w:p>
    <w:p>
      <w:pPr>
        <w:pStyle w:val="BodyTextIndent"/>
        <w:numPr>
          <w:ilvl w:val="0"/>
          <w:numId w:val="2"/>
        </w:numPr>
        <w:spacing w:lineRule="auto" w:line="480"/>
        <w:ind w:hanging="1080" w:start="1080" w:end="0"/>
        <w:jc w:val="both"/>
        <w:rPr/>
      </w:pPr>
      <w:r>
        <w:rPr/>
        <w:t>California must work to expedite the siting of new generation,</w:t>
      </w:r>
    </w:p>
    <w:p>
      <w:pPr>
        <w:pStyle w:val="BodyTextIndent"/>
        <w:numPr>
          <w:ilvl w:val="0"/>
          <w:numId w:val="2"/>
        </w:numPr>
        <w:spacing w:lineRule="auto" w:line="480"/>
        <w:ind w:hanging="1080" w:start="1080" w:end="0"/>
        <w:jc w:val="both"/>
        <w:rPr/>
      </w:pPr>
      <w:r>
        <w:rPr/>
        <w:t>Federal regulators must expedite the interconnection of these facilities to the grid,</w:t>
      </w:r>
    </w:p>
    <w:p>
      <w:pPr>
        <w:pStyle w:val="BodyTextIndent"/>
        <w:numPr>
          <w:ilvl w:val="0"/>
          <w:numId w:val="2"/>
        </w:numPr>
        <w:spacing w:lineRule="auto" w:line="480"/>
        <w:ind w:hanging="1080" w:start="1080" w:end="0"/>
        <w:jc w:val="both"/>
        <w:rPr/>
      </w:pPr>
      <w:r>
        <w:rPr/>
        <w:t>State regulators should remove the restrictions that prevent utilities from purchasing outside of the California Power Exchange,</w:t>
      </w:r>
    </w:p>
    <w:p>
      <w:pPr>
        <w:pStyle w:val="BodyTextIndent"/>
        <w:numPr>
          <w:ilvl w:val="0"/>
          <w:numId w:val="2"/>
        </w:numPr>
        <w:spacing w:lineRule="auto" w:line="480"/>
        <w:ind w:hanging="1080" w:start="1080" w:end="0"/>
        <w:jc w:val="both"/>
        <w:rPr/>
      </w:pPr>
      <w:r>
        <w:rPr/>
        <w:t>FERC must ensure that all transmission into, out of, and inside the state is available on a nondiscriminatory basis, and</w:t>
      </w:r>
    </w:p>
    <w:p>
      <w:pPr>
        <w:pStyle w:val="BodyTextIndent"/>
        <w:numPr>
          <w:ilvl w:val="0"/>
          <w:numId w:val="2"/>
        </w:numPr>
        <w:spacing w:lineRule="auto" w:line="480"/>
        <w:ind w:hanging="1080" w:start="1080" w:end="0"/>
        <w:jc w:val="both"/>
        <w:rPr/>
      </w:pPr>
      <w:r>
        <w:rPr/>
        <w:t>Information available to the California ISO and the California Power Exchange must be made available to all market participants in a timely fashion so that the market can respond to developing problems.</w:t>
      </w:r>
    </w:p>
    <w:p>
      <w:pPr>
        <w:pStyle w:val="Normal"/>
        <w:spacing w:lineRule="auto" w:line="480"/>
        <w:jc w:val="both"/>
        <w:rPr>
          <w:rFonts w:ascii="Arial" w:hAnsi="Arial" w:cs="Arial"/>
          <w:color w:val="000000"/>
          <w:sz w:val="28"/>
        </w:rPr>
      </w:pPr>
      <w:r>
        <w:rPr>
          <w:rFonts w:cs="Arial" w:ascii="Arial" w:hAnsi="Arial"/>
          <w:color w:val="000000"/>
          <w:sz w:val="28"/>
        </w:rPr>
      </w:r>
    </w:p>
    <w:p>
      <w:pPr>
        <w:pStyle w:val="BodyTextIndent"/>
        <w:spacing w:lineRule="auto" w:line="480"/>
        <w:ind w:start="0" w:end="0"/>
        <w:jc w:val="both"/>
        <w:rPr/>
      </w:pPr>
      <w:r>
        <w:rPr/>
        <w:t>Looking beyond California, the impediments to well functioning wholesale electricity markets take various forms.  One of the key impediments is the lack of true comprability because of the “native load” exception.  The native load exception allows transmission providers to keep available transmission, some suggest up to 80 percent of the capability, off of the market.  This exception clearly doesn’t help minimize power spikes.  In fact, if all transmission were made available on an equitable basis to all shippers, more power could move to those areas where it’s needed the most.  This regulatory exception is destroying the liquidity of the electricity markets.  Without an ability to move electricity fairly, the market can’t work.</w:t>
      </w:r>
    </w:p>
    <w:p>
      <w:pPr>
        <w:pStyle w:val="BodyTextIndent"/>
        <w:spacing w:lineRule="auto" w:line="480"/>
        <w:ind w:start="0" w:end="0"/>
        <w:jc w:val="both"/>
        <w:rPr/>
      </w:pPr>
      <w:r>
        <w:rPr/>
      </w:r>
    </w:p>
    <w:p>
      <w:pPr>
        <w:pStyle w:val="BodyTextIndent"/>
        <w:spacing w:lineRule="auto" w:line="480"/>
        <w:ind w:start="0" w:end="0"/>
        <w:jc w:val="both"/>
        <w:rPr/>
      </w:pPr>
      <w:r>
        <w:rPr/>
        <w:t>Other impediments to a well functioning electricity market include:</w:t>
      </w:r>
    </w:p>
    <w:p>
      <w:pPr>
        <w:pStyle w:val="BodyTextIndent"/>
        <w:numPr>
          <w:ilvl w:val="0"/>
          <w:numId w:val="5"/>
        </w:numPr>
        <w:spacing w:lineRule="auto" w:line="480"/>
        <w:jc w:val="both"/>
        <w:rPr/>
      </w:pPr>
      <w:r>
        <w:rPr/>
        <w:t xml:space="preserve">ATC calculations that are unreliable and arbitrary,  </w:t>
      </w:r>
    </w:p>
    <w:p>
      <w:pPr>
        <w:pStyle w:val="BodyTextIndent"/>
        <w:numPr>
          <w:ilvl w:val="0"/>
          <w:numId w:val="5"/>
        </w:numPr>
        <w:spacing w:lineRule="auto" w:line="480"/>
        <w:jc w:val="both"/>
        <w:rPr/>
      </w:pPr>
      <w:r>
        <w:rPr/>
        <w:t>The lack of well functioning trading hubs, and</w:t>
      </w:r>
    </w:p>
    <w:p>
      <w:pPr>
        <w:pStyle w:val="BodyTextIndent"/>
        <w:numPr>
          <w:ilvl w:val="0"/>
          <w:numId w:val="5"/>
        </w:numPr>
        <w:spacing w:lineRule="auto" w:line="480"/>
        <w:jc w:val="both"/>
        <w:rPr/>
      </w:pPr>
      <w:r>
        <w:rPr/>
        <w:t>Price caps that distort needed price signals.</w:t>
      </w:r>
    </w:p>
    <w:p>
      <w:pPr>
        <w:pStyle w:val="Normal"/>
        <w:spacing w:lineRule="auto" w:line="480"/>
        <w:jc w:val="both"/>
        <w:rPr>
          <w:rFonts w:ascii="Arial" w:hAnsi="Arial" w:cs="Arial"/>
          <w:color w:val="000000"/>
          <w:sz w:val="28"/>
        </w:rPr>
      </w:pPr>
      <w:r>
        <w:rPr>
          <w:rFonts w:cs="Arial" w:ascii="Arial" w:hAnsi="Arial"/>
          <w:color w:val="000000"/>
          <w:sz w:val="28"/>
        </w:rPr>
      </w:r>
    </w:p>
    <w:p>
      <w:pPr>
        <w:pStyle w:val="Heading1"/>
        <w:spacing w:lineRule="auto" w:line="480"/>
        <w:ind w:start="0" w:end="0"/>
        <w:jc w:val="both"/>
        <w:rPr/>
      </w:pPr>
      <w:r>
        <w:rPr/>
        <w:t xml:space="preserve">I think that’s enough about our current problems.  I would like to spend my remaining time outlining the elements of what I think is necessary for a well functioning electricity market.  This discussion is especially fitting given that many utilities around the country are making their initial FERC Order 2000 filings today.    </w:t>
      </w:r>
    </w:p>
    <w:p>
      <w:pPr>
        <w:pStyle w:val="Normal"/>
        <w:spacing w:lineRule="auto" w:line="480"/>
        <w:jc w:val="both"/>
        <w:rPr>
          <w:rFonts w:ascii="Arial" w:hAnsi="Arial" w:cs="Arial"/>
          <w:color w:val="000000"/>
          <w:sz w:val="28"/>
        </w:rPr>
      </w:pPr>
      <w:r>
        <w:rPr>
          <w:rFonts w:cs="Arial" w:ascii="Arial" w:hAnsi="Arial"/>
          <w:color w:val="000000"/>
          <w:sz w:val="28"/>
        </w:rPr>
      </w:r>
    </w:p>
    <w:p>
      <w:pPr>
        <w:pStyle w:val="Normal"/>
        <w:spacing w:lineRule="auto" w:line="480"/>
        <w:jc w:val="both"/>
        <w:rPr>
          <w:rFonts w:ascii="Arial" w:hAnsi="Arial" w:cs="Arial"/>
          <w:sz w:val="28"/>
        </w:rPr>
      </w:pPr>
      <w:r>
        <w:rPr>
          <w:rFonts w:cs="Arial" w:ascii="Arial" w:hAnsi="Arial"/>
          <w:sz w:val="28"/>
        </w:rPr>
        <w:t xml:space="preserve">FERC Order 2000 is focused on eliminating the ability for utilities to discriminate in favor of their own generation and marketing activities.  But RTOs will only help as long as they are structured correctly.  The success of FERC Order 2000 will be judged by one key metric – the liquidity of the electricity market.  I could see a future in which RTOs are operating throughout the country but the electricity market is not liquid.  </w:t>
      </w:r>
    </w:p>
    <w:p>
      <w:pPr>
        <w:pStyle w:val="Normal"/>
        <w:jc w:val="both"/>
        <w:rPr>
          <w:rFonts w:ascii="Arial" w:hAnsi="Arial" w:cs="Arial"/>
          <w:sz w:val="28"/>
        </w:rPr>
      </w:pPr>
      <w:r>
        <w:rPr>
          <w:rFonts w:cs="Arial" w:ascii="Arial" w:hAnsi="Arial"/>
          <w:sz w:val="28"/>
        </w:rPr>
      </w:r>
    </w:p>
    <w:p>
      <w:pPr>
        <w:pStyle w:val="Heading1"/>
        <w:spacing w:lineRule="auto" w:line="480"/>
        <w:ind w:start="0" w:end="0"/>
        <w:jc w:val="both"/>
        <w:rPr/>
      </w:pPr>
      <w:r>
        <w:rPr/>
        <w:t xml:space="preserve">First, a properly functioning market needs to be structured in a manner that most energy is traded in the forward market.  While there is a strong need for a real-time balancing market, it must not become the focal point for the industry or for regulators.  The spot market is simply needed to clear up any residual electricity and provide some transparency.  This emphasis on the forward market is both based on our experience in other markets and </w:t>
      </w:r>
      <w:r>
        <w:rPr>
          <w:szCs w:val="18"/>
        </w:rPr>
        <w:t xml:space="preserve">results from the experience in California.  One of the key policy goals must be the creation of deep forward markets.  Forward markets also </w:t>
      </w:r>
      <w:r>
        <w:rPr/>
        <w:t xml:space="preserve">provide consumers with the ability to have price certainty. The forward market should be built on bilateral transactions, with parties coming to terms in whatever manner they see fit.  Enron has developed its own web-based transaction system, EnronOnline, which has both bids and offers posted so that any counterparty can do business with us.  </w:t>
      </w:r>
    </w:p>
    <w:p>
      <w:pPr>
        <w:pStyle w:val="Heading1"/>
        <w:spacing w:lineRule="auto" w:line="480"/>
        <w:ind w:start="0" w:end="0"/>
        <w:jc w:val="both"/>
        <w:rPr/>
      </w:pPr>
      <w:r>
        <w:rPr/>
      </w:r>
    </w:p>
    <w:p>
      <w:pPr>
        <w:pStyle w:val="Heading1"/>
        <w:spacing w:lineRule="auto" w:line="480"/>
        <w:ind w:start="0" w:end="0"/>
        <w:jc w:val="both"/>
        <w:rPr/>
      </w:pPr>
      <w:r>
        <w:rPr/>
        <w:t xml:space="preserve">Another critical element of any future market structure is resolving the remaining transmission access impediments.  A key requirement of liquid electricity markets is the ability to have firm physical transmission rights to manage forward energy obligations.  </w:t>
      </w:r>
    </w:p>
    <w:p>
      <w:pPr>
        <w:pStyle w:val="Heading1"/>
        <w:spacing w:lineRule="auto" w:line="480"/>
        <w:ind w:start="0" w:end="0"/>
        <w:jc w:val="both"/>
        <w:rPr/>
      </w:pPr>
      <w:r>
        <w:rPr/>
        <w:t xml:space="preserve">Without open and unfettered access to transmission, RTOs will not allow forward energy markets to develop.  RTOs should provide the same transmission service for all customers without discrimination.  All customers of transmission systems must be under the same tariff, including bundled retail customers.  Transmission access should provide every customer with the same flexibility.  For example, the current economic advantage of operating a control area must be either ended or provided to all transmission customers.  In this future market, all parties must be allowed to submit new schedules or adjust their schedule until the start of real-time.  Every participant should be able to transact against the real-time balancing market without incurring penalties.  </w:t>
      </w:r>
    </w:p>
    <w:p>
      <w:pPr>
        <w:pStyle w:val="Normal"/>
        <w:spacing w:lineRule="auto" w:line="480"/>
        <w:jc w:val="both"/>
        <w:rPr>
          <w:rFonts w:ascii="Arial" w:hAnsi="Arial" w:cs="Arial"/>
          <w:color w:val="000000"/>
          <w:sz w:val="28"/>
          <w:szCs w:val="18"/>
        </w:rPr>
      </w:pPr>
      <w:r>
        <w:rPr>
          <w:rFonts w:cs="Arial" w:ascii="Arial" w:hAnsi="Arial"/>
          <w:color w:val="000000"/>
          <w:sz w:val="28"/>
          <w:szCs w:val="18"/>
        </w:rPr>
      </w:r>
    </w:p>
    <w:p>
      <w:pPr>
        <w:pStyle w:val="Normal"/>
        <w:spacing w:lineRule="auto" w:line="480"/>
        <w:jc w:val="both"/>
        <w:rPr/>
      </w:pPr>
      <w:r>
        <w:rPr>
          <w:rFonts w:cs="Arial" w:ascii="Arial" w:hAnsi="Arial"/>
          <w:color w:val="000000"/>
          <w:sz w:val="28"/>
        </w:rPr>
        <w:t>RTOs should take care of only what is absolutely necessary, and leave the rest to the market.</w:t>
      </w:r>
      <w:r>
        <w:rPr>
          <w:rFonts w:cs="Arial" w:ascii="Arial" w:hAnsi="Arial"/>
          <w:color w:val="000000"/>
          <w:sz w:val="28"/>
          <w:szCs w:val="20"/>
        </w:rPr>
        <w:t xml:space="preserve">  The </w:t>
      </w:r>
      <w:r>
        <w:rPr>
          <w:rFonts w:cs="Arial" w:ascii="Arial" w:hAnsi="Arial"/>
          <w:color w:val="000000"/>
          <w:sz w:val="28"/>
          <w:szCs w:val="18"/>
        </w:rPr>
        <w:t xml:space="preserve">RTO functions are to maintain the reliability of the grid and to operate the real-time balancing market.  A power exchange and transmission exchange are necessary components but should not be operated by RTO.  </w:t>
      </w:r>
    </w:p>
    <w:p>
      <w:pPr>
        <w:pStyle w:val="Normal"/>
        <w:spacing w:lineRule="auto" w:line="480"/>
        <w:jc w:val="both"/>
        <w:rPr>
          <w:rFonts w:ascii="Arial" w:hAnsi="Arial" w:cs="Arial"/>
          <w:color w:val="000000"/>
          <w:sz w:val="28"/>
          <w:szCs w:val="18"/>
        </w:rPr>
      </w:pPr>
      <w:r>
        <w:rPr>
          <w:rFonts w:cs="Arial" w:ascii="Arial" w:hAnsi="Arial"/>
          <w:color w:val="000000"/>
          <w:sz w:val="28"/>
          <w:szCs w:val="18"/>
        </w:rPr>
      </w:r>
    </w:p>
    <w:p>
      <w:pPr>
        <w:pStyle w:val="Normal"/>
        <w:spacing w:lineRule="auto" w:line="480"/>
        <w:jc w:val="both"/>
        <w:rPr>
          <w:rFonts w:ascii="Arial" w:hAnsi="Arial" w:cs="Arial"/>
          <w:color w:val="000000"/>
          <w:sz w:val="28"/>
        </w:rPr>
      </w:pPr>
      <w:r>
        <w:rPr>
          <w:rFonts w:cs="Arial" w:ascii="Arial" w:hAnsi="Arial"/>
          <w:color w:val="000000"/>
          <w:sz w:val="28"/>
        </w:rPr>
        <w:t>I would like to take this opportunity to highlight what I see as one of the most damaging developments from the crisis in California.  It is now assumed by many policymakers that the ISO is responsible for not only keeping the lights on, but also to make sure that household bills are low and stable.  Retail rates are the responsibility of state policymakers and not wholesale market institutions.</w:t>
      </w:r>
    </w:p>
    <w:p>
      <w:pPr>
        <w:pStyle w:val="Normal"/>
        <w:spacing w:lineRule="auto" w:line="480"/>
        <w:jc w:val="both"/>
        <w:rPr>
          <w:rFonts w:ascii="Arial" w:hAnsi="Arial" w:cs="Arial"/>
          <w:color w:val="000000"/>
          <w:sz w:val="28"/>
        </w:rPr>
      </w:pPr>
      <w:r>
        <w:rPr>
          <w:rFonts w:cs="Arial" w:ascii="Arial" w:hAnsi="Arial"/>
          <w:color w:val="000000"/>
          <w:sz w:val="28"/>
        </w:rPr>
      </w:r>
    </w:p>
    <w:p>
      <w:pPr>
        <w:pStyle w:val="Normal"/>
        <w:spacing w:lineRule="auto" w:line="480"/>
        <w:jc w:val="both"/>
        <w:rPr/>
      </w:pPr>
      <w:r>
        <w:rPr>
          <w:rFonts w:cs="Arial" w:ascii="Arial" w:hAnsi="Arial"/>
          <w:color w:val="000000"/>
          <w:sz w:val="28"/>
        </w:rPr>
        <w:t xml:space="preserve">Enron would like to see RTOs designed around “for profit” incentives.  </w:t>
      </w:r>
      <w:r>
        <w:rPr>
          <w:rFonts w:cs="Arial" w:ascii="Arial" w:hAnsi="Arial"/>
          <w:color w:val="000000"/>
          <w:sz w:val="28"/>
          <w:szCs w:val="18"/>
        </w:rPr>
        <w:t>RTOs must operate efficiently and provide “best in class” customer service.  RTOs must be able to raise capital to buy or build transmission plant and must facilitate merchant transmission.  Any system that relies upon luck and goodwill to ensure that the RTO will want to see liquid electricity markets is doomed for failure.</w:t>
      </w:r>
    </w:p>
    <w:p>
      <w:pPr>
        <w:pStyle w:val="Normal"/>
        <w:spacing w:lineRule="auto" w:line="480"/>
        <w:jc w:val="both"/>
        <w:rPr>
          <w:rFonts w:ascii="Arial" w:hAnsi="Arial" w:cs="Arial"/>
          <w:color w:val="000000"/>
          <w:sz w:val="28"/>
          <w:szCs w:val="18"/>
        </w:rPr>
      </w:pPr>
      <w:r>
        <w:rPr>
          <w:rFonts w:cs="Arial" w:ascii="Arial" w:hAnsi="Arial"/>
          <w:color w:val="000000"/>
          <w:sz w:val="28"/>
          <w:szCs w:val="18"/>
        </w:rPr>
      </w:r>
    </w:p>
    <w:p>
      <w:pPr>
        <w:pStyle w:val="Normal"/>
        <w:spacing w:lineRule="auto" w:line="480"/>
        <w:jc w:val="both"/>
        <w:rPr>
          <w:rFonts w:ascii="Arial" w:hAnsi="Arial" w:cs="Arial"/>
          <w:color w:val="000000"/>
          <w:sz w:val="28"/>
          <w:szCs w:val="18"/>
        </w:rPr>
      </w:pPr>
      <w:r>
        <w:rPr>
          <w:rFonts w:cs="Arial" w:ascii="Arial" w:hAnsi="Arial"/>
          <w:color w:val="000000"/>
          <w:sz w:val="28"/>
          <w:szCs w:val="18"/>
        </w:rPr>
        <w:t xml:space="preserve">RTOs should be independent from all market participants.  Transmission owners must not dictate the development of the RTO business model.  In fact, I think that if a group of transmission owners really wanted to meet the obligations of FERC Order 2000 efficiently, they whould outsource the function.  Transmission owners must not dictate the RTO service offerings.  </w:t>
      </w:r>
    </w:p>
    <w:p>
      <w:pPr>
        <w:pStyle w:val="Normal"/>
        <w:spacing w:lineRule="auto" w:line="480"/>
        <w:jc w:val="both"/>
        <w:rPr>
          <w:rFonts w:ascii="Arial" w:hAnsi="Arial" w:cs="Arial"/>
          <w:color w:val="000000"/>
          <w:sz w:val="28"/>
          <w:szCs w:val="18"/>
        </w:rPr>
      </w:pPr>
      <w:r>
        <w:rPr>
          <w:rFonts w:cs="Arial" w:ascii="Arial" w:hAnsi="Arial"/>
          <w:color w:val="000000"/>
          <w:sz w:val="28"/>
          <w:szCs w:val="18"/>
        </w:rPr>
        <w:t>They must let the RTO design its own service offerings.</w:t>
      </w:r>
    </w:p>
    <w:p>
      <w:pPr>
        <w:pStyle w:val="Normal"/>
        <w:spacing w:lineRule="auto" w:line="480"/>
        <w:jc w:val="both"/>
        <w:rPr>
          <w:rFonts w:ascii="Arial" w:hAnsi="Arial" w:cs="Arial"/>
          <w:color w:val="000000"/>
          <w:sz w:val="28"/>
          <w:szCs w:val="18"/>
        </w:rPr>
      </w:pPr>
      <w:r>
        <w:rPr>
          <w:rFonts w:cs="Arial" w:ascii="Arial" w:hAnsi="Arial"/>
          <w:color w:val="000000"/>
          <w:sz w:val="28"/>
          <w:szCs w:val="18"/>
        </w:rPr>
      </w:r>
    </w:p>
    <w:p>
      <w:pPr>
        <w:pStyle w:val="Normal"/>
        <w:spacing w:lineRule="auto" w:line="480"/>
        <w:jc w:val="both"/>
        <w:rPr/>
      </w:pPr>
      <w:r>
        <w:rPr>
          <w:rFonts w:cs="Arial" w:ascii="Arial" w:hAnsi="Arial"/>
          <w:color w:val="000000"/>
          <w:sz w:val="28"/>
        </w:rPr>
        <w:t xml:space="preserve">FERC needs to drive RTO implementation.  </w:t>
      </w:r>
      <w:r>
        <w:rPr>
          <w:rFonts w:cs="Arial" w:ascii="Arial" w:hAnsi="Arial"/>
          <w:color w:val="000000"/>
          <w:sz w:val="28"/>
          <w:szCs w:val="18"/>
        </w:rPr>
        <w:t>Implementing RTOs is not about constructing hardware; it’s about putting together people and systems.  When delays occur, more often than not, they are simply the result of parties chasing “set-asides”.  And one cost saving thought, don’t throw away current telemetry and communication infrastructure, adapt it as necessary and then at the end of its useful life it can be upgraded as necessary.</w:t>
      </w:r>
    </w:p>
    <w:p>
      <w:pPr>
        <w:pStyle w:val="Normal"/>
        <w:spacing w:lineRule="auto" w:line="480"/>
        <w:jc w:val="both"/>
        <w:rPr>
          <w:rFonts w:ascii="Arial" w:hAnsi="Arial" w:cs="Arial"/>
          <w:color w:val="000000"/>
          <w:sz w:val="28"/>
          <w:szCs w:val="18"/>
        </w:rPr>
      </w:pPr>
      <w:r>
        <w:rPr>
          <w:rFonts w:cs="Arial" w:ascii="Arial" w:hAnsi="Arial"/>
          <w:color w:val="000000"/>
          <w:sz w:val="28"/>
          <w:szCs w:val="18"/>
        </w:rPr>
      </w:r>
    </w:p>
    <w:p>
      <w:pPr>
        <w:pStyle w:val="Normal"/>
        <w:spacing w:lineRule="auto" w:line="480"/>
        <w:jc w:val="both"/>
        <w:rPr/>
      </w:pPr>
      <w:r>
        <w:rPr>
          <w:rFonts w:cs="Arial" w:ascii="Arial" w:hAnsi="Arial"/>
          <w:color w:val="000000"/>
          <w:sz w:val="28"/>
        </w:rPr>
        <w:t xml:space="preserve">Finally, RTOs must have sufficient geographic scope and configuration to allow for rationale markets.  </w:t>
      </w:r>
      <w:r>
        <w:rPr>
          <w:rFonts w:cs="Arial" w:ascii="Arial" w:hAnsi="Arial"/>
          <w:color w:val="000000"/>
          <w:sz w:val="28"/>
          <w:szCs w:val="18"/>
        </w:rPr>
        <w:t>Size does matter for transmission pricing, parallel flows and liquid electricity markets.  Success is contingent upon the facilities included.  The bigger the RTO also minimizes the number of seams.</w:t>
      </w:r>
    </w:p>
    <w:p>
      <w:pPr>
        <w:pStyle w:val="Normal"/>
        <w:spacing w:lineRule="auto" w:line="480"/>
        <w:jc w:val="both"/>
        <w:rPr>
          <w:rFonts w:ascii="Arial" w:hAnsi="Arial" w:cs="Arial"/>
          <w:color w:val="000000"/>
          <w:sz w:val="28"/>
          <w:szCs w:val="18"/>
        </w:rPr>
      </w:pPr>
      <w:r>
        <w:rPr>
          <w:rFonts w:cs="Arial" w:ascii="Arial" w:hAnsi="Arial"/>
          <w:color w:val="000000"/>
          <w:sz w:val="28"/>
          <w:szCs w:val="18"/>
        </w:rPr>
      </w:r>
    </w:p>
    <w:p>
      <w:pPr>
        <w:pStyle w:val="BodyText3"/>
        <w:rPr/>
      </w:pPr>
      <w:r>
        <w:rPr/>
        <w:t>In conclusion, I want to once again thank Alstom ESCA for giving me this opportunity.  I look forward to your questions.</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Even though suppliers have proposed to build about twice as much new capacity as needed to meet peak demand growth.</w:t>
      </w:r>
    </w:p>
  </w:footnote>
  <w:footnote w:id="3">
    <w:p>
      <w:pPr>
        <w:pStyle w:val="FootnoteText"/>
        <w:jc w:val="both"/>
        <w:rPr/>
      </w:pPr>
      <w:r>
        <w:rPr>
          <w:rStyle w:val="FootnoteCharacters"/>
        </w:rPr>
        <w:footnoteRef/>
      </w:r>
      <w:r>
        <w:rPr/>
        <w:t xml:space="preserve"> </w:t>
      </w:r>
      <w:r>
        <w:rPr/>
        <w:t>San Diego customers are exposed to this volatility because rate caps that were part of California’s direct access legislation expired once stranded costs were fully recovered.  San Diego Gas &amp; Electric’s customers receive retail rates that are simply the pass through of wholesale market prices.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1080" w:hanging="360"/>
      </w:pPr>
      <w:rPr>
        <w:rFonts w:ascii="Symbol" w:hAnsi="Symbol" w:cs="Symbol" w:hint="default"/>
        <w:color w:val="000000"/>
      </w:rPr>
    </w:lvl>
  </w:abstractNum>
  <w:abstractNum w:abstractNumId="3">
    <w:lvl w:ilvl="0">
      <w:start w:val="1"/>
      <w:numFmt w:val="bullet"/>
      <w:lvlText w:val=""/>
      <w:lvlJc w:val="start"/>
      <w:pPr>
        <w:tabs>
          <w:tab w:val="num" w:pos="720"/>
        </w:tabs>
        <w:ind w:start="1080" w:hanging="360"/>
      </w:pPr>
      <w:rPr>
        <w:rFonts w:ascii="Symbol" w:hAnsi="Symbol" w:cs="Symbol" w:hint="default"/>
        <w:color w:val="000000"/>
      </w:rPr>
    </w:lvl>
  </w:abstractNum>
  <w:abstractNum w:abstractNumId="4">
    <w:lvl w:ilvl="0">
      <w:start w:val="1"/>
      <w:numFmt w:val="bullet"/>
      <w:lvlText w:val=""/>
      <w:lvlJc w:val="start"/>
      <w:pPr>
        <w:tabs>
          <w:tab w:val="num" w:pos="720"/>
        </w:tabs>
        <w:ind w:start="720" w:hanging="360"/>
      </w:pPr>
      <w:rPr>
        <w:rFonts w:ascii="Symbol" w:hAnsi="Symbol" w:cs="Symbol" w:hint="default"/>
        <w:color w:val="000000"/>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rFonts w:ascii="Arial" w:hAnsi="Arial" w:cs="Arial"/>
      <w:color w:val="000000"/>
      <w:sz w:val="28"/>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rFonts w:ascii="Arial" w:hAnsi="Arial" w:cs="Arial"/>
      <w:color w:val="000000"/>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Arial" w:hAnsi="Arial" w:cs="Arial"/>
      <w:color w:val="000000"/>
      <w:sz w:val="28"/>
    </w:rPr>
  </w:style>
  <w:style w:type="paragraph" w:styleId="FootnoteText">
    <w:name w:val="footnote text"/>
    <w:basedOn w:val="Normal"/>
    <w:pPr/>
    <w:rPr>
      <w:sz w:val="20"/>
      <w:szCs w:val="20"/>
    </w:rPr>
  </w:style>
  <w:style w:type="paragraph" w:styleId="BodyText2">
    <w:name w:val="Body Text 2"/>
    <w:basedOn w:val="Normal"/>
    <w:qFormat/>
    <w:pPr>
      <w:spacing w:lineRule="auto" w:line="480"/>
    </w:pPr>
    <w:rPr>
      <w:rFonts w:ascii="Arial" w:hAnsi="Arial" w:cs="Arial"/>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480"/>
      <w:jc w:val="both"/>
    </w:pPr>
    <w:rPr>
      <w:rFonts w:ascii="Arial" w:hAnsi="Arial" w:cs="Arial"/>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2000-10-16T01:15:00Z</dcterms:created>
  <dc:creator>ttwiggs</dc:creator>
  <dc:description/>
  <dc:language>en-CA</dc:language>
  <cp:lastModifiedBy>jsteffe</cp:lastModifiedBy>
  <cp:lastPrinted>2000-10-13T16:40:00Z</cp:lastPrinted>
  <dcterms:modified xsi:type="dcterms:W3CDTF">2000-10-16T11:24:00Z</dcterms:modified>
  <cp:revision>11</cp:revision>
  <dc:subject/>
  <dc:title>On this panel, I have been asked to discuss the five year market vision for the Energy Provider</dc:title>
</cp:coreProperties>
</file>