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single"/>
        </w:rPr>
      </w:pPr>
      <w:r>
        <w:rPr>
          <w:sz w:val="20"/>
          <w:u w:val="single"/>
        </w:rPr>
        <w:t>Loan Recommendation</w:t>
      </w:r>
    </w:p>
    <w:p>
      <w:pPr>
        <w:pStyle w:val="Normal"/>
        <w:rPr>
          <w:sz w:val="20"/>
          <w:u w:val="single"/>
        </w:rPr>
      </w:pPr>
      <w:r>
        <w:rPr>
          <w:sz w:val="20"/>
          <w:u w:val="single"/>
        </w:rPr>
      </w:r>
    </w:p>
    <w:p>
      <w:pPr>
        <w:pStyle w:val="Normal"/>
        <w:rPr>
          <w:sz w:val="20"/>
        </w:rPr>
      </w:pPr>
      <w:r>
        <w:rPr>
          <w:sz w:val="20"/>
        </w:rPr>
      </w:r>
    </w:p>
    <w:p>
      <w:pPr>
        <w:pStyle w:val="Normal"/>
        <w:rPr>
          <w:b/>
          <w:bCs/>
          <w:i/>
          <w:i/>
          <w:iCs/>
          <w:sz w:val="20"/>
        </w:rPr>
      </w:pPr>
      <w:r>
        <w:rPr>
          <w:b/>
          <w:bCs/>
          <w:i/>
          <w:iCs/>
          <w:sz w:val="20"/>
        </w:rPr>
        <w:t>How risky is this company as a potential borrower?</w:t>
      </w:r>
    </w:p>
    <w:p>
      <w:pPr>
        <w:pStyle w:val="Normal"/>
        <w:ind w:firstLine="720" w:end="0"/>
        <w:rPr>
          <w:sz w:val="20"/>
        </w:rPr>
      </w:pPr>
      <w:r>
        <w:rPr>
          <w:sz w:val="20"/>
        </w:rPr>
        <w:t xml:space="preserve">For several reasons, the risk is high, but not unacceptable.  First, as the financial analysis submitted shows, the company is carrying a significant amount of debt (almost $13 million).  Alrenco has used this debt to finance an aggressive growth strategy.  That strategy holds out the promise of significant profitability going forward.  Second, the assets acquired have underperformed compared to Alrenco’s existing assets, which has had a negative effect on earnings.  Third, the company’s intangible assets have increased signficantly due to the signficant premium paid in recent acquisitions.  Fourth, though performance appears to have improved from 1994 to 1995, a significant portion of 1995’s earnings ($470,000) are due to a change in the way the company accounts for depreciation of rental merchandise. </w:t>
      </w:r>
    </w:p>
    <w:p>
      <w:pPr>
        <w:pStyle w:val="Normal"/>
        <w:rPr>
          <w:sz w:val="20"/>
        </w:rPr>
      </w:pPr>
      <w:r>
        <w:rPr>
          <w:sz w:val="20"/>
        </w:rPr>
      </w:r>
    </w:p>
    <w:p>
      <w:pPr>
        <w:pStyle w:val="Normal"/>
        <w:rPr>
          <w:b/>
          <w:bCs/>
          <w:i/>
          <w:i/>
          <w:iCs/>
          <w:sz w:val="20"/>
        </w:rPr>
      </w:pPr>
      <w:r>
        <w:rPr>
          <w:b/>
          <w:bCs/>
          <w:i/>
          <w:iCs/>
          <w:sz w:val="20"/>
        </w:rPr>
        <w:t>Is the risk level low enough to consider a loan?</w:t>
      </w:r>
    </w:p>
    <w:p>
      <w:pPr>
        <w:pStyle w:val="BodyTextIndent"/>
        <w:rPr>
          <w:sz w:val="20"/>
        </w:rPr>
      </w:pPr>
      <w:r>
        <w:rPr>
          <w:sz w:val="20"/>
        </w:rPr>
        <w:t>Yes, if the loan includes the terms suggested below, I recommend that the bank consider the loan.  However, I recommend that the bank only agree to increase the credit limit to $15 million, rather than to $20 million, which represents the upper limit of the range requested by Alrenco.  The loan agreement could include provisions that would increase the credit limit incrementally based on the extent to which Alrenco meets profitability, cash flow, net worth and collections requirements discussed below.</w:t>
      </w:r>
    </w:p>
    <w:p>
      <w:pPr>
        <w:pStyle w:val="Normal"/>
        <w:rPr>
          <w:sz w:val="20"/>
        </w:rPr>
      </w:pPr>
      <w:r>
        <w:rPr>
          <w:sz w:val="20"/>
        </w:rPr>
      </w:r>
    </w:p>
    <w:p>
      <w:pPr>
        <w:pStyle w:val="Normal"/>
        <w:rPr>
          <w:b/>
          <w:bCs/>
          <w:i/>
          <w:i/>
          <w:iCs/>
          <w:sz w:val="20"/>
        </w:rPr>
      </w:pPr>
      <w:r>
        <w:rPr>
          <w:b/>
          <w:bCs/>
          <w:i/>
          <w:iCs/>
          <w:sz w:val="20"/>
        </w:rPr>
        <w:t>What kinds of terms would you recommend?</w:t>
      </w:r>
    </w:p>
    <w:p>
      <w:pPr>
        <w:pStyle w:val="BodyTextIndent"/>
        <w:rPr>
          <w:sz w:val="20"/>
        </w:rPr>
      </w:pPr>
      <w:r>
        <w:rPr>
          <w:sz w:val="20"/>
        </w:rPr>
        <w:t xml:space="preserve">The risks identified above require a premium over the average rate applied to the other loans in the bank’s portfolio.  In light of these risks, I recommend a high interest rate, comparable to the rates charged to our customers with similar risk profiles.  </w:t>
      </w:r>
    </w:p>
    <w:p>
      <w:pPr>
        <w:pStyle w:val="Normal"/>
        <w:rPr>
          <w:sz w:val="20"/>
        </w:rPr>
      </w:pPr>
      <w:r>
        <w:rPr>
          <w:sz w:val="20"/>
        </w:rPr>
      </w:r>
    </w:p>
    <w:p>
      <w:pPr>
        <w:pStyle w:val="Normal"/>
        <w:rPr>
          <w:b/>
          <w:bCs/>
          <w:sz w:val="20"/>
        </w:rPr>
      </w:pPr>
      <w:r>
        <w:rPr>
          <w:b/>
          <w:bCs/>
          <w:i/>
          <w:iCs/>
          <w:sz w:val="20"/>
        </w:rPr>
        <w:t>Security/Collateral?</w:t>
      </w:r>
      <w:r>
        <w:rPr>
          <w:b/>
          <w:bCs/>
          <w:sz w:val="20"/>
        </w:rPr>
        <w:t xml:space="preserve">: </w:t>
      </w:r>
      <w:r>
        <w:rPr>
          <w:b/>
          <w:bCs/>
          <w:i/>
          <w:iCs/>
          <w:sz w:val="20"/>
        </w:rPr>
        <w:t>If so, what kind of security?</w:t>
      </w:r>
    </w:p>
    <w:p>
      <w:pPr>
        <w:pStyle w:val="Normal"/>
        <w:rPr>
          <w:b/>
          <w:bCs/>
          <w:sz w:val="20"/>
        </w:rPr>
      </w:pPr>
      <w:r>
        <w:rPr>
          <w:b/>
          <w:bCs/>
          <w:sz w:val="20"/>
        </w:rPr>
      </w:r>
    </w:p>
    <w:p>
      <w:pPr>
        <w:pStyle w:val="BodyTextIndent"/>
        <w:rPr>
          <w:sz w:val="20"/>
        </w:rPr>
      </w:pPr>
      <w:r>
        <w:rPr>
          <w:sz w:val="20"/>
        </w:rPr>
        <w:t>The risks are significant enough to require that the loan be backed fully by all of Alrenco’s assets.</w:t>
      </w:r>
    </w:p>
    <w:p>
      <w:pPr>
        <w:pStyle w:val="Normal"/>
        <w:rPr>
          <w:sz w:val="20"/>
        </w:rPr>
      </w:pPr>
      <w:r>
        <w:rPr>
          <w:sz w:val="20"/>
        </w:rPr>
      </w:r>
    </w:p>
    <w:p>
      <w:pPr>
        <w:pStyle w:val="Normal"/>
        <w:rPr>
          <w:b/>
          <w:bCs/>
          <w:i/>
          <w:i/>
          <w:iCs/>
          <w:sz w:val="20"/>
        </w:rPr>
      </w:pPr>
      <w:r>
        <w:rPr>
          <w:b/>
          <w:bCs/>
          <w:i/>
          <w:iCs/>
          <w:sz w:val="20"/>
        </w:rPr>
        <w:t>Covenants?  If so, what kind of convenants?</w:t>
      </w:r>
    </w:p>
    <w:p>
      <w:pPr>
        <w:pStyle w:val="Normal"/>
        <w:rPr>
          <w:b/>
          <w:bCs/>
          <w:i/>
          <w:i/>
          <w:iCs/>
          <w:sz w:val="20"/>
        </w:rPr>
      </w:pPr>
      <w:r>
        <w:rPr>
          <w:b/>
          <w:bCs/>
          <w:i/>
          <w:iCs/>
          <w:sz w:val="20"/>
        </w:rPr>
      </w:r>
    </w:p>
    <w:p>
      <w:pPr>
        <w:pStyle w:val="BodyTextIndent"/>
        <w:ind w:firstLine="360" w:end="0"/>
        <w:rPr>
          <w:sz w:val="20"/>
        </w:rPr>
      </w:pPr>
      <w:r>
        <w:rPr>
          <w:sz w:val="20"/>
        </w:rPr>
        <w:t>Covents should include:</w:t>
      </w:r>
    </w:p>
    <w:p>
      <w:pPr>
        <w:pStyle w:val="Normal"/>
        <w:numPr>
          <w:ilvl w:val="0"/>
          <w:numId w:val="2"/>
        </w:numPr>
        <w:tabs>
          <w:tab w:val="clear" w:pos="720"/>
        </w:tabs>
        <w:ind w:hanging="288" w:start="720" w:end="0"/>
        <w:rPr>
          <w:sz w:val="20"/>
        </w:rPr>
      </w:pPr>
      <w:r>
        <w:rPr>
          <w:sz w:val="20"/>
        </w:rPr>
        <w:t>No additional acquisitions without the bank’s approval.</w:t>
      </w:r>
    </w:p>
    <w:p>
      <w:pPr>
        <w:pStyle w:val="Normal"/>
        <w:numPr>
          <w:ilvl w:val="0"/>
          <w:numId w:val="2"/>
        </w:numPr>
        <w:tabs>
          <w:tab w:val="clear" w:pos="720"/>
        </w:tabs>
        <w:ind w:hanging="288" w:start="720" w:end="0"/>
        <w:rPr>
          <w:sz w:val="20"/>
        </w:rPr>
      </w:pPr>
      <w:r>
        <w:rPr>
          <w:sz w:val="20"/>
        </w:rPr>
        <w:t>No additional loans or indebtedness without the bank’s approval.</w:t>
      </w:r>
    </w:p>
    <w:p>
      <w:pPr>
        <w:pStyle w:val="Normal"/>
        <w:numPr>
          <w:ilvl w:val="0"/>
          <w:numId w:val="2"/>
        </w:numPr>
        <w:tabs>
          <w:tab w:val="clear" w:pos="720"/>
        </w:tabs>
        <w:ind w:hanging="288" w:start="720" w:end="0"/>
        <w:rPr>
          <w:sz w:val="20"/>
        </w:rPr>
      </w:pPr>
      <w:r>
        <w:rPr>
          <w:sz w:val="20"/>
        </w:rPr>
        <w:t>Management compensation levels should require bank approval.</w:t>
      </w:r>
    </w:p>
    <w:p>
      <w:pPr>
        <w:pStyle w:val="Normal"/>
        <w:numPr>
          <w:ilvl w:val="0"/>
          <w:numId w:val="2"/>
        </w:numPr>
        <w:tabs>
          <w:tab w:val="clear" w:pos="720"/>
        </w:tabs>
        <w:ind w:hanging="288" w:start="720" w:end="0"/>
        <w:rPr>
          <w:sz w:val="20"/>
        </w:rPr>
      </w:pPr>
      <w:r>
        <w:rPr>
          <w:sz w:val="20"/>
        </w:rPr>
        <w:t>No dividends (cash or stock) without the bank’s approval.</w:t>
      </w:r>
    </w:p>
    <w:p>
      <w:pPr>
        <w:pStyle w:val="Normal"/>
        <w:numPr>
          <w:ilvl w:val="0"/>
          <w:numId w:val="2"/>
        </w:numPr>
        <w:tabs>
          <w:tab w:val="clear" w:pos="720"/>
        </w:tabs>
        <w:ind w:hanging="288" w:start="720" w:end="0"/>
        <w:rPr>
          <w:sz w:val="20"/>
        </w:rPr>
      </w:pPr>
      <w:r>
        <w:rPr>
          <w:sz w:val="20"/>
        </w:rPr>
        <w:t>Requirements on profitability, cash flow and net worth similar to those included in the current loan agreement, and additional requirements on collections.</w:t>
      </w:r>
    </w:p>
    <w:p>
      <w:pPr>
        <w:pStyle w:val="Normal"/>
        <w:rPr>
          <w:sz w:val="20"/>
        </w:rPr>
      </w:pPr>
      <w:r>
        <w:rPr>
          <w:sz w:val="20"/>
        </w:rPr>
      </w:r>
    </w:p>
    <w:p>
      <w:pPr>
        <w:pStyle w:val="Normal"/>
        <w:ind w:firstLine="432" w:end="0"/>
        <w:rPr>
          <w:sz w:val="20"/>
        </w:rPr>
      </w:pPr>
      <w:r>
        <w:rPr>
          <w:sz w:val="20"/>
        </w:rPr>
        <w:t>The bank should not offer the loan unless Alrenco is agrees to these convenants.</w:t>
      </w:r>
    </w:p>
    <w:p>
      <w:pPr>
        <w:pStyle w:val="Normal"/>
        <w:rPr>
          <w:sz w:val="20"/>
        </w:rPr>
      </w:pPr>
      <w:r>
        <w:rPr>
          <w:sz w:val="20"/>
        </w:rPr>
      </w:r>
    </w:p>
    <w:p>
      <w:pPr>
        <w:pStyle w:val="Normal"/>
        <w:rPr>
          <w:b/>
          <w:bCs/>
          <w:sz w:val="20"/>
        </w:rPr>
      </w:pPr>
      <w:r>
        <w:rPr>
          <w:b/>
          <w:bCs/>
          <w:i/>
          <w:iCs/>
          <w:sz w:val="20"/>
        </w:rPr>
        <w:t>Do you recommend a loan? What are the major justifications for your recommendations?</w:t>
      </w:r>
    </w:p>
    <w:p>
      <w:pPr>
        <w:pStyle w:val="BodyText"/>
        <w:rPr/>
      </w:pPr>
      <w:r>
        <w:rPr/>
        <w:tab/>
        <w:t>Yes, I recommend a loan, contingent upon the strict convenants and security provisions discussed above.  In particular, Alrenco should focus less on rapid growth and more on bringing its expertise to bear on increasing the profitability of its recent acquisitions.  My recommendations are based on Alrenco’s:</w:t>
      </w:r>
    </w:p>
    <w:p>
      <w:pPr>
        <w:pStyle w:val="BodyText"/>
        <w:rPr/>
      </w:pPr>
      <w:r>
        <w:rPr/>
      </w:r>
    </w:p>
    <w:p>
      <w:pPr>
        <w:pStyle w:val="Normal"/>
        <w:numPr>
          <w:ilvl w:val="0"/>
          <w:numId w:val="3"/>
        </w:numPr>
        <w:tabs>
          <w:tab w:val="clear" w:pos="720"/>
        </w:tabs>
        <w:rPr>
          <w:sz w:val="20"/>
        </w:rPr>
      </w:pPr>
      <w:r>
        <w:rPr>
          <w:sz w:val="20"/>
        </w:rPr>
        <w:t>revenue per store ($720,000) performance compared to the industry average ($500,000)</w:t>
      </w:r>
    </w:p>
    <w:p>
      <w:pPr>
        <w:pStyle w:val="Normal"/>
        <w:numPr>
          <w:ilvl w:val="0"/>
          <w:numId w:val="3"/>
        </w:numPr>
        <w:tabs>
          <w:tab w:val="clear" w:pos="720"/>
        </w:tabs>
        <w:rPr>
          <w:sz w:val="20"/>
        </w:rPr>
      </w:pPr>
      <w:r>
        <w:rPr>
          <w:sz w:val="20"/>
        </w:rPr>
        <w:t>proven track record in turning a profit on start-up stores and in increasing the profitability of acquired stores;</w:t>
      </w:r>
    </w:p>
    <w:p>
      <w:pPr>
        <w:pStyle w:val="Normal"/>
        <w:numPr>
          <w:ilvl w:val="0"/>
          <w:numId w:val="3"/>
        </w:numPr>
        <w:tabs>
          <w:tab w:val="clear" w:pos="720"/>
        </w:tabs>
        <w:rPr>
          <w:sz w:val="20"/>
        </w:rPr>
      </w:pPr>
      <w:r>
        <w:rPr>
          <w:sz w:val="20"/>
        </w:rPr>
        <w:t>experienced management team;</w:t>
      </w:r>
    </w:p>
    <w:p>
      <w:pPr>
        <w:pStyle w:val="Normal"/>
        <w:numPr>
          <w:ilvl w:val="0"/>
          <w:numId w:val="3"/>
        </w:numPr>
        <w:tabs>
          <w:tab w:val="clear" w:pos="720"/>
        </w:tabs>
        <w:rPr>
          <w:sz w:val="20"/>
        </w:rPr>
      </w:pPr>
      <w:r>
        <w:rPr>
          <w:sz w:val="20"/>
        </w:rPr>
        <w:t>leadership position in customer service, which has led to 50% of the company’s sales arising from repeat business and referrals from existing customers.</w:t>
      </w:r>
    </w:p>
    <w:p>
      <w:pPr>
        <w:pStyle w:val="Normal"/>
        <w:numPr>
          <w:ilvl w:val="0"/>
          <w:numId w:val="3"/>
        </w:numPr>
        <w:tabs>
          <w:tab w:val="clear" w:pos="720"/>
        </w:tabs>
        <w:rPr>
          <w:sz w:val="20"/>
        </w:rPr>
      </w:pPr>
      <w:r>
        <w:rPr>
          <w:sz w:val="20"/>
        </w:rPr>
        <w:t>early mover advantage due to the company’s consolidation and growth strategy.</w:t>
      </w:r>
    </w:p>
    <w:p>
      <w:pPr>
        <w:pStyle w:val="Normal"/>
        <w:numPr>
          <w:ilvl w:val="0"/>
          <w:numId w:val="3"/>
        </w:numPr>
        <w:tabs>
          <w:tab w:val="clear" w:pos="720"/>
        </w:tabs>
        <w:rPr>
          <w:sz w:val="20"/>
        </w:rPr>
      </w:pPr>
      <w:r>
        <w:rPr>
          <w:sz w:val="20"/>
        </w:rPr>
        <w:t>the significant potential for future growth and profitability.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Jeffrey Dasovich</w:t>
    </w:r>
  </w:p>
  <w:p>
    <w:pPr>
      <w:pStyle w:val="Header"/>
      <w:jc w:val="end"/>
      <w:rPr/>
    </w:pPr>
    <w:r>
      <w:rPr/>
      <w:t>E220/Alrenco Case</w:t>
    </w:r>
  </w:p>
  <w:p>
    <w:pPr>
      <w:pStyle w:val="Header"/>
      <w:jc w:val="end"/>
      <w:rPr/>
    </w:pPr>
    <w:r>
      <w:rPr/>
      <w:t>November 15, 2000</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368" w:hanging="288"/>
      </w:pPr>
      <w:rPr>
        <w:rFonts w:ascii="Wingdings" w:hAnsi="Wingdings" w:cs="Wingdings" w:hint="default"/>
      </w:rPr>
    </w:lvl>
  </w:abstractNum>
  <w:abstractNum w:abstractNumId="3">
    <w:lvl w:ilvl="0">
      <w:start w:val="1"/>
      <w:numFmt w:val="bullet"/>
      <w:lvlText w:val=""/>
      <w:lvlJc w:val="start"/>
      <w:pPr>
        <w:tabs>
          <w:tab w:val="num" w:pos="432"/>
        </w:tabs>
        <w:ind w:start="360" w:hanging="288"/>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rFonts w:ascii="Wingdings" w:hAnsi="Wingdings" w:cs="Wingdings"/>
      <w:b w:val="false"/>
      <w:i w:val="false"/>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b w:val="false"/>
      <w:i w:val="false"/>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2000-11-16T02:27:00Z</dcterms:created>
  <dc:creator>jdasovic</dc:creator>
  <dc:description/>
  <dc:language>en-CA</dc:language>
  <cp:lastModifiedBy>jdasovic</cp:lastModifiedBy>
  <dcterms:modified xsi:type="dcterms:W3CDTF">2000-11-16T02:27:00Z</dcterms:modified>
  <cp:revision>2</cp:revision>
  <dc:subject/>
  <dc:title>Loan Recommendation</dc:title>
</cp:coreProperties>
</file>