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00" w:leader="none"/>
        </w:tabs>
        <w:rPr/>
      </w:pPr>
      <w:r>
        <w:rPr/>
      </w:r>
    </w:p>
    <w:tbl>
      <w:tblPr>
        <w:tblW w:w="10206" w:type="dxa"/>
        <w:jc w:val="start"/>
        <w:tblInd w:w="1384" w:type="dxa"/>
        <w:tblLayout w:type="fixed"/>
        <w:tblCellMar>
          <w:top w:w="0" w:type="dxa"/>
          <w:start w:w="108" w:type="dxa"/>
          <w:bottom w:w="0" w:type="dxa"/>
          <w:end w:w="108" w:type="dxa"/>
        </w:tblCellMar>
      </w:tblPr>
      <w:tblGrid>
        <w:gridCol w:w="709"/>
        <w:gridCol w:w="283"/>
        <w:gridCol w:w="4395"/>
        <w:gridCol w:w="992"/>
        <w:gridCol w:w="283"/>
        <w:gridCol w:w="3544"/>
      </w:tblGrid>
      <w:tr>
        <w:trPr/>
        <w:tc>
          <w:tcPr>
            <w:tcW w:w="10206" w:type="dxa"/>
            <w:gridSpan w:val="6"/>
            <w:tcBorders/>
          </w:tcPr>
          <w:p>
            <w:pPr>
              <w:pStyle w:val="Normal"/>
              <w:snapToGrid w:val="false"/>
              <w:rPr/>
            </w:pPr>
            <w:r>
              <w:rPr/>
            </w:r>
          </w:p>
          <w:p>
            <w:pPr>
              <w:pStyle w:val="Heading5"/>
              <w:ind w:hanging="0" w:start="0"/>
              <w:rPr/>
            </w:pPr>
            <w:r>
              <w:rPr>
                <w:position w:val="50"/>
              </w:rPr>
              <w:t>Memo</w:t>
            </w:r>
            <w:r>
              <w:rPr/>
              <w:t xml:space="preserve">                                                                            </w:t>
            </w:r>
            <w:bookmarkStart w:id="0" w:name="_1005546260"/>
            <w:bookmarkEnd w:id="0"/>
            <w:r>
              <w:rPr/>
              <w:object w:dxaOrig="3941" w:dyaOrig="7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62.75pt;height:37.95pt" filled="f" o:ole="">
                  <v:imagedata r:id="rId3" o:title=""/>
                </v:shape>
                <o:OLEObject Type="Embed" ProgID="" ShapeID="ole_rId2" DrawAspect="Content" ObjectID="_136813321" r:id="rId2"/>
              </w:object>
            </w:r>
          </w:p>
          <w:p>
            <w:pPr>
              <w:pStyle w:val="Normal"/>
              <w:rPr/>
            </w:pPr>
            <w:r>
              <w:rPr/>
            </w:r>
          </w:p>
        </w:tc>
      </w:tr>
      <w:tr>
        <w:trPr>
          <w:trHeight w:val="436" w:hRule="atLeast"/>
        </w:trPr>
        <w:tc>
          <w:tcPr>
            <w:tcW w:w="709" w:type="dxa"/>
            <w:vMerge w:val="restart"/>
            <w:tcBorders>
              <w:top w:val="single" w:sz="8" w:space="0" w:color="000000"/>
            </w:tcBorders>
          </w:tcPr>
          <w:p>
            <w:pPr>
              <w:pStyle w:val="Normal"/>
              <w:snapToGrid w:val="false"/>
              <w:rPr>
                <w:sz w:val="22"/>
              </w:rPr>
            </w:pPr>
            <w:r>
              <w:rPr>
                <w:sz w:val="22"/>
              </w:rPr>
            </w:r>
          </w:p>
          <w:p>
            <w:pPr>
              <w:pStyle w:val="Normal"/>
              <w:rPr>
                <w:sz w:val="22"/>
              </w:rPr>
            </w:pPr>
            <w:r>
              <w:rPr>
                <w:sz w:val="22"/>
              </w:rPr>
              <w:t xml:space="preserve">To </w:t>
            </w:r>
          </w:p>
        </w:tc>
        <w:tc>
          <w:tcPr>
            <w:tcW w:w="283" w:type="dxa"/>
            <w:vMerge w:val="restart"/>
            <w:tcBorders>
              <w:top w:val="single" w:sz="8" w:space="0" w:color="000000"/>
            </w:tcBorders>
          </w:tcPr>
          <w:p>
            <w:pPr>
              <w:pStyle w:val="Normal"/>
              <w:snapToGrid w:val="false"/>
              <w:rPr>
                <w:sz w:val="22"/>
              </w:rPr>
            </w:pPr>
            <w:r>
              <w:rPr>
                <w:sz w:val="22"/>
              </w:rPr>
            </w:r>
          </w:p>
          <w:p>
            <w:pPr>
              <w:pStyle w:val="Normal"/>
              <w:rPr>
                <w:sz w:val="22"/>
              </w:rPr>
            </w:pPr>
            <w:r>
              <w:rPr>
                <w:sz w:val="22"/>
              </w:rPr>
              <w:t>:</w:t>
            </w:r>
          </w:p>
        </w:tc>
        <w:tc>
          <w:tcPr>
            <w:tcW w:w="4395" w:type="dxa"/>
            <w:vMerge w:val="restart"/>
            <w:tcBorders>
              <w:top w:val="single" w:sz="8" w:space="0" w:color="000000"/>
            </w:tcBorders>
          </w:tcPr>
          <w:p>
            <w:pPr>
              <w:pStyle w:val="Normal"/>
              <w:snapToGrid w:val="false"/>
              <w:rPr>
                <w:sz w:val="22"/>
              </w:rPr>
            </w:pPr>
            <w:r>
              <w:rPr>
                <w:sz w:val="22"/>
              </w:rPr>
            </w:r>
          </w:p>
          <w:p>
            <w:pPr>
              <w:pStyle w:val="Normal"/>
              <w:ind w:hanging="720" w:start="720" w:end="0"/>
              <w:rPr>
                <w:sz w:val="22"/>
              </w:rPr>
            </w:pPr>
            <w:r>
              <w:rPr>
                <w:sz w:val="22"/>
              </w:rPr>
              <w:t>Colin Skellet</w:t>
            </w:r>
          </w:p>
        </w:tc>
        <w:tc>
          <w:tcPr>
            <w:tcW w:w="992" w:type="dxa"/>
            <w:tcBorders>
              <w:top w:val="single" w:sz="8" w:space="0" w:color="000000"/>
            </w:tcBorders>
          </w:tcPr>
          <w:p>
            <w:pPr>
              <w:pStyle w:val="Normal"/>
              <w:snapToGrid w:val="false"/>
              <w:rPr>
                <w:sz w:val="22"/>
              </w:rPr>
            </w:pPr>
            <w:r>
              <w:rPr>
                <w:sz w:val="22"/>
              </w:rPr>
            </w:r>
          </w:p>
          <w:p>
            <w:pPr>
              <w:pStyle w:val="Normal"/>
              <w:rPr>
                <w:sz w:val="22"/>
              </w:rPr>
            </w:pPr>
            <w:r>
              <w:rPr>
                <w:sz w:val="22"/>
              </w:rPr>
              <w:t>From</w:t>
            </w:r>
          </w:p>
          <w:p>
            <w:pPr>
              <w:pStyle w:val="Normal"/>
              <w:rPr>
                <w:sz w:val="16"/>
              </w:rPr>
            </w:pPr>
            <w:r>
              <w:rPr>
                <w:sz w:val="16"/>
              </w:rPr>
            </w:r>
          </w:p>
        </w:tc>
        <w:tc>
          <w:tcPr>
            <w:tcW w:w="283" w:type="dxa"/>
            <w:tcBorders>
              <w:top w:val="single" w:sz="8" w:space="0" w:color="000000"/>
            </w:tcBorders>
          </w:tcPr>
          <w:p>
            <w:pPr>
              <w:pStyle w:val="Normal"/>
              <w:snapToGrid w:val="false"/>
              <w:rPr>
                <w:sz w:val="22"/>
              </w:rPr>
            </w:pPr>
            <w:r>
              <w:rPr>
                <w:sz w:val="22"/>
              </w:rPr>
            </w:r>
          </w:p>
          <w:p>
            <w:pPr>
              <w:pStyle w:val="Normal"/>
              <w:rPr>
                <w:sz w:val="22"/>
              </w:rPr>
            </w:pPr>
            <w:r>
              <w:rPr>
                <w:sz w:val="22"/>
              </w:rPr>
              <w:t>:</w:t>
            </w:r>
          </w:p>
        </w:tc>
        <w:tc>
          <w:tcPr>
            <w:tcW w:w="3544" w:type="dxa"/>
            <w:tcBorders>
              <w:top w:val="single" w:sz="8" w:space="0" w:color="000000"/>
            </w:tcBorders>
          </w:tcPr>
          <w:p>
            <w:pPr>
              <w:pStyle w:val="Normal"/>
              <w:snapToGrid w:val="false"/>
              <w:rPr>
                <w:sz w:val="22"/>
              </w:rPr>
            </w:pPr>
            <w:r>
              <w:rPr>
                <w:sz w:val="22"/>
              </w:rPr>
            </w:r>
          </w:p>
          <w:p>
            <w:pPr>
              <w:pStyle w:val="Normal"/>
              <w:rPr>
                <w:sz w:val="22"/>
              </w:rPr>
            </w:pPr>
            <w:r>
              <w:rPr>
                <w:sz w:val="22"/>
              </w:rPr>
              <w:t>Mike O'Neill</w:t>
            </w:r>
          </w:p>
        </w:tc>
      </w:tr>
      <w:tr>
        <w:trPr>
          <w:trHeight w:val="436" w:hRule="atLeast"/>
        </w:trPr>
        <w:tc>
          <w:tcPr>
            <w:tcW w:w="709" w:type="dxa"/>
            <w:vMerge w:val="continue"/>
            <w:tcBorders>
              <w:top w:val="single" w:sz="8" w:space="0" w:color="000000"/>
            </w:tcBorders>
          </w:tcPr>
          <w:p>
            <w:pPr>
              <w:pStyle w:val="Normal"/>
              <w:snapToGrid w:val="false"/>
              <w:rPr>
                <w:sz w:val="22"/>
              </w:rPr>
            </w:pPr>
            <w:r>
              <w:rPr>
                <w:sz w:val="22"/>
              </w:rPr>
            </w:r>
          </w:p>
        </w:tc>
        <w:tc>
          <w:tcPr>
            <w:tcW w:w="283" w:type="dxa"/>
            <w:vMerge w:val="continue"/>
            <w:tcBorders>
              <w:top w:val="single" w:sz="8" w:space="0" w:color="000000"/>
            </w:tcBorders>
          </w:tcPr>
          <w:p>
            <w:pPr>
              <w:pStyle w:val="Normal"/>
              <w:snapToGrid w:val="false"/>
              <w:rPr>
                <w:sz w:val="22"/>
              </w:rPr>
            </w:pPr>
            <w:r>
              <w:rPr>
                <w:sz w:val="22"/>
              </w:rPr>
            </w:r>
          </w:p>
        </w:tc>
        <w:tc>
          <w:tcPr>
            <w:tcW w:w="4395" w:type="dxa"/>
            <w:vMerge w:val="continue"/>
            <w:tcBorders>
              <w:top w:val="single" w:sz="8" w:space="0" w:color="000000"/>
            </w:tcBorders>
          </w:tcPr>
          <w:p>
            <w:pPr>
              <w:pStyle w:val="Normal"/>
              <w:snapToGrid w:val="false"/>
              <w:rPr>
                <w:sz w:val="22"/>
              </w:rPr>
            </w:pPr>
            <w:r>
              <w:rPr>
                <w:sz w:val="22"/>
              </w:rPr>
            </w:r>
          </w:p>
        </w:tc>
        <w:tc>
          <w:tcPr>
            <w:tcW w:w="992" w:type="dxa"/>
            <w:tcBorders/>
          </w:tcPr>
          <w:p>
            <w:pPr>
              <w:pStyle w:val="Normal"/>
              <w:rPr>
                <w:sz w:val="22"/>
              </w:rPr>
            </w:pPr>
            <w:r>
              <w:rPr>
                <w:sz w:val="22"/>
              </w:rPr>
              <w:t>Dept.</w:t>
            </w:r>
          </w:p>
        </w:tc>
        <w:tc>
          <w:tcPr>
            <w:tcW w:w="283" w:type="dxa"/>
            <w:tcBorders/>
          </w:tcPr>
          <w:p>
            <w:pPr>
              <w:pStyle w:val="Normal"/>
              <w:rPr>
                <w:sz w:val="22"/>
              </w:rPr>
            </w:pPr>
            <w:r>
              <w:rPr>
                <w:sz w:val="22"/>
              </w:rPr>
              <w:t>:</w:t>
            </w:r>
          </w:p>
        </w:tc>
        <w:tc>
          <w:tcPr>
            <w:tcW w:w="3544" w:type="dxa"/>
            <w:tcBorders/>
          </w:tcPr>
          <w:p>
            <w:pPr>
              <w:pStyle w:val="Normal"/>
              <w:snapToGrid w:val="false"/>
              <w:rPr>
                <w:sz w:val="22"/>
              </w:rPr>
            </w:pPr>
            <w:r>
              <w:rPr>
                <w:sz w:val="22"/>
              </w:rPr>
            </w:r>
          </w:p>
        </w:tc>
      </w:tr>
      <w:tr>
        <w:trPr>
          <w:trHeight w:val="436" w:hRule="atLeast"/>
        </w:trPr>
        <w:tc>
          <w:tcPr>
            <w:tcW w:w="709" w:type="dxa"/>
            <w:vMerge w:val="continue"/>
            <w:tcBorders>
              <w:top w:val="single" w:sz="8" w:space="0" w:color="000000"/>
            </w:tcBorders>
          </w:tcPr>
          <w:p>
            <w:pPr>
              <w:pStyle w:val="Normal"/>
              <w:snapToGrid w:val="false"/>
              <w:rPr>
                <w:sz w:val="22"/>
              </w:rPr>
            </w:pPr>
            <w:r>
              <w:rPr>
                <w:sz w:val="22"/>
              </w:rPr>
            </w:r>
          </w:p>
        </w:tc>
        <w:tc>
          <w:tcPr>
            <w:tcW w:w="283" w:type="dxa"/>
            <w:vMerge w:val="continue"/>
            <w:tcBorders>
              <w:top w:val="single" w:sz="8" w:space="0" w:color="000000"/>
            </w:tcBorders>
          </w:tcPr>
          <w:p>
            <w:pPr>
              <w:pStyle w:val="Normal"/>
              <w:snapToGrid w:val="false"/>
              <w:rPr>
                <w:sz w:val="22"/>
              </w:rPr>
            </w:pPr>
            <w:r>
              <w:rPr>
                <w:sz w:val="22"/>
              </w:rPr>
            </w:r>
          </w:p>
        </w:tc>
        <w:tc>
          <w:tcPr>
            <w:tcW w:w="4395" w:type="dxa"/>
            <w:vMerge w:val="continue"/>
            <w:tcBorders>
              <w:top w:val="single" w:sz="8" w:space="0" w:color="000000"/>
            </w:tcBorders>
          </w:tcPr>
          <w:p>
            <w:pPr>
              <w:pStyle w:val="Normal"/>
              <w:snapToGrid w:val="false"/>
              <w:rPr>
                <w:sz w:val="22"/>
              </w:rPr>
            </w:pPr>
            <w:r>
              <w:rPr>
                <w:sz w:val="22"/>
              </w:rPr>
            </w:r>
          </w:p>
        </w:tc>
        <w:tc>
          <w:tcPr>
            <w:tcW w:w="992" w:type="dxa"/>
            <w:tcBorders/>
          </w:tcPr>
          <w:p>
            <w:pPr>
              <w:pStyle w:val="Normal"/>
              <w:rPr>
                <w:sz w:val="22"/>
              </w:rPr>
            </w:pPr>
            <w:r>
              <w:rPr>
                <w:sz w:val="22"/>
              </w:rPr>
              <w:t>Phone</w:t>
            </w:r>
          </w:p>
        </w:tc>
        <w:tc>
          <w:tcPr>
            <w:tcW w:w="283" w:type="dxa"/>
            <w:tcBorders/>
          </w:tcPr>
          <w:p>
            <w:pPr>
              <w:pStyle w:val="Normal"/>
              <w:rPr>
                <w:sz w:val="22"/>
              </w:rPr>
            </w:pPr>
            <w:r>
              <w:rPr>
                <w:sz w:val="22"/>
              </w:rPr>
              <w:t>:</w:t>
            </w:r>
          </w:p>
        </w:tc>
        <w:tc>
          <w:tcPr>
            <w:tcW w:w="3544" w:type="dxa"/>
            <w:tcBorders/>
          </w:tcPr>
          <w:p>
            <w:pPr>
              <w:pStyle w:val="Normal"/>
              <w:snapToGrid w:val="false"/>
              <w:rPr>
                <w:sz w:val="22"/>
              </w:rPr>
            </w:pPr>
            <w:r>
              <w:rPr>
                <w:sz w:val="22"/>
              </w:rPr>
            </w:r>
          </w:p>
        </w:tc>
      </w:tr>
      <w:tr>
        <w:trPr>
          <w:trHeight w:val="436" w:hRule="atLeast"/>
        </w:trPr>
        <w:tc>
          <w:tcPr>
            <w:tcW w:w="709" w:type="dxa"/>
            <w:vMerge w:val="continue"/>
            <w:tcBorders>
              <w:top w:val="single" w:sz="8" w:space="0" w:color="000000"/>
            </w:tcBorders>
          </w:tcPr>
          <w:p>
            <w:pPr>
              <w:pStyle w:val="Normal"/>
              <w:snapToGrid w:val="false"/>
              <w:rPr>
                <w:sz w:val="22"/>
              </w:rPr>
            </w:pPr>
            <w:r>
              <w:rPr>
                <w:sz w:val="22"/>
              </w:rPr>
            </w:r>
          </w:p>
        </w:tc>
        <w:tc>
          <w:tcPr>
            <w:tcW w:w="283" w:type="dxa"/>
            <w:vMerge w:val="continue"/>
            <w:tcBorders>
              <w:top w:val="single" w:sz="8" w:space="0" w:color="000000"/>
            </w:tcBorders>
          </w:tcPr>
          <w:p>
            <w:pPr>
              <w:pStyle w:val="Normal"/>
              <w:snapToGrid w:val="false"/>
              <w:rPr>
                <w:sz w:val="22"/>
              </w:rPr>
            </w:pPr>
            <w:r>
              <w:rPr>
                <w:sz w:val="22"/>
              </w:rPr>
            </w:r>
          </w:p>
        </w:tc>
        <w:tc>
          <w:tcPr>
            <w:tcW w:w="4395" w:type="dxa"/>
            <w:vMerge w:val="continue"/>
            <w:tcBorders>
              <w:top w:val="single" w:sz="8" w:space="0" w:color="000000"/>
            </w:tcBorders>
          </w:tcPr>
          <w:p>
            <w:pPr>
              <w:pStyle w:val="Normal"/>
              <w:snapToGrid w:val="false"/>
              <w:rPr>
                <w:sz w:val="22"/>
              </w:rPr>
            </w:pPr>
            <w:r>
              <w:rPr>
                <w:sz w:val="22"/>
              </w:rPr>
            </w:r>
          </w:p>
        </w:tc>
        <w:tc>
          <w:tcPr>
            <w:tcW w:w="992" w:type="dxa"/>
            <w:tcBorders/>
          </w:tcPr>
          <w:p>
            <w:pPr>
              <w:pStyle w:val="Normal"/>
              <w:rPr>
                <w:sz w:val="22"/>
              </w:rPr>
            </w:pPr>
            <w:r>
              <w:rPr>
                <w:sz w:val="22"/>
              </w:rPr>
              <w:t>Date</w:t>
            </w:r>
          </w:p>
        </w:tc>
        <w:tc>
          <w:tcPr>
            <w:tcW w:w="283" w:type="dxa"/>
            <w:tcBorders/>
          </w:tcPr>
          <w:p>
            <w:pPr>
              <w:pStyle w:val="Normal"/>
              <w:rPr>
                <w:sz w:val="22"/>
              </w:rPr>
            </w:pPr>
            <w:r>
              <w:rPr>
                <w:sz w:val="22"/>
              </w:rPr>
              <w:t>:</w:t>
            </w:r>
          </w:p>
        </w:tc>
        <w:tc>
          <w:tcPr>
            <w:tcW w:w="3544" w:type="dxa"/>
            <w:tcBorders/>
          </w:tcPr>
          <w:p>
            <w:pPr>
              <w:pStyle w:val="Normal"/>
              <w:rPr>
                <w:sz w:val="22"/>
              </w:rPr>
            </w:pPr>
            <w:r>
              <w:rPr>
                <w:sz w:val="22"/>
              </w:rPr>
              <w:t>3 August 2000</w:t>
            </w:r>
          </w:p>
        </w:tc>
      </w:tr>
      <w:tr>
        <w:trPr>
          <w:trHeight w:val="271" w:hRule="atLeast"/>
        </w:trPr>
        <w:tc>
          <w:tcPr>
            <w:tcW w:w="709" w:type="dxa"/>
            <w:vMerge w:val="continue"/>
            <w:tcBorders>
              <w:top w:val="single" w:sz="8" w:space="0" w:color="000000"/>
            </w:tcBorders>
          </w:tcPr>
          <w:p>
            <w:pPr>
              <w:pStyle w:val="Normal"/>
              <w:snapToGrid w:val="false"/>
              <w:rPr>
                <w:sz w:val="22"/>
              </w:rPr>
            </w:pPr>
            <w:r>
              <w:rPr>
                <w:sz w:val="22"/>
              </w:rPr>
            </w:r>
          </w:p>
        </w:tc>
        <w:tc>
          <w:tcPr>
            <w:tcW w:w="283" w:type="dxa"/>
            <w:vMerge w:val="continue"/>
            <w:tcBorders>
              <w:top w:val="single" w:sz="8" w:space="0" w:color="000000"/>
            </w:tcBorders>
          </w:tcPr>
          <w:p>
            <w:pPr>
              <w:pStyle w:val="Normal"/>
              <w:snapToGrid w:val="false"/>
              <w:rPr>
                <w:sz w:val="22"/>
              </w:rPr>
            </w:pPr>
            <w:r>
              <w:rPr>
                <w:sz w:val="22"/>
              </w:rPr>
            </w:r>
          </w:p>
        </w:tc>
        <w:tc>
          <w:tcPr>
            <w:tcW w:w="4395" w:type="dxa"/>
            <w:vMerge w:val="continue"/>
            <w:tcBorders>
              <w:top w:val="single" w:sz="8" w:space="0" w:color="000000"/>
            </w:tcBorders>
          </w:tcPr>
          <w:p>
            <w:pPr>
              <w:pStyle w:val="Normal"/>
              <w:snapToGrid w:val="false"/>
              <w:rPr>
                <w:sz w:val="22"/>
              </w:rPr>
            </w:pPr>
            <w:r>
              <w:rPr>
                <w:sz w:val="22"/>
              </w:rPr>
            </w:r>
          </w:p>
        </w:tc>
        <w:tc>
          <w:tcPr>
            <w:tcW w:w="992" w:type="dxa"/>
            <w:tcBorders>
              <w:bottom w:val="single" w:sz="8" w:space="0" w:color="000000"/>
            </w:tcBorders>
          </w:tcPr>
          <w:p>
            <w:pPr>
              <w:pStyle w:val="Normal"/>
              <w:rPr>
                <w:sz w:val="22"/>
              </w:rPr>
            </w:pPr>
            <w:r>
              <w:rPr>
                <w:sz w:val="22"/>
              </w:rPr>
              <w:t>Page</w:t>
            </w:r>
          </w:p>
          <w:p>
            <w:pPr>
              <w:pStyle w:val="Normal"/>
              <w:rPr>
                <w:sz w:val="22"/>
              </w:rPr>
            </w:pPr>
            <w:r>
              <w:rPr>
                <w:sz w:val="22"/>
              </w:rPr>
            </w:r>
          </w:p>
        </w:tc>
        <w:tc>
          <w:tcPr>
            <w:tcW w:w="283" w:type="dxa"/>
            <w:tcBorders>
              <w:bottom w:val="single" w:sz="8" w:space="0" w:color="000000"/>
            </w:tcBorders>
          </w:tcPr>
          <w:p>
            <w:pPr>
              <w:pStyle w:val="Normal"/>
              <w:rPr>
                <w:sz w:val="22"/>
              </w:rPr>
            </w:pPr>
            <w:r>
              <w:rPr>
                <w:sz w:val="22"/>
              </w:rPr>
              <w:t>:</w:t>
            </w:r>
          </w:p>
        </w:tc>
        <w:tc>
          <w:tcPr>
            <w:tcW w:w="3544" w:type="dxa"/>
            <w:tcBorders>
              <w:bottom w:val="single" w:sz="8" w:space="0" w:color="000000"/>
            </w:tcBorders>
          </w:tcPr>
          <w:p>
            <w:pPr>
              <w:pStyle w:val="Normal"/>
              <w:rPr>
                <w:sz w:val="22"/>
              </w:rPr>
            </w:pPr>
            <w:r>
              <w:rPr>
                <w:sz w:val="22"/>
              </w:rPr>
              <w:t>1 of 2</w:t>
            </w:r>
          </w:p>
        </w:tc>
      </w:tr>
      <w:tr>
        <w:trPr>
          <w:trHeight w:val="581" w:hRule="atLeast"/>
        </w:trPr>
        <w:tc>
          <w:tcPr>
            <w:tcW w:w="10206" w:type="dxa"/>
            <w:gridSpan w:val="6"/>
            <w:tcBorders/>
          </w:tcPr>
          <w:p>
            <w:pPr>
              <w:pStyle w:val="Normal"/>
              <w:snapToGrid w:val="false"/>
              <w:rPr>
                <w:sz w:val="22"/>
              </w:rPr>
            </w:pPr>
            <w:r>
              <w:rPr>
                <w:sz w:val="22"/>
              </w:rPr>
            </w:r>
          </w:p>
          <w:p>
            <w:pPr>
              <w:pStyle w:val="Heading7"/>
              <w:ind w:hanging="0" w:start="0"/>
              <w:rPr/>
            </w:pPr>
            <w:r>
              <w:rPr/>
              <w:t>SUBJECT: ALNWICK CASTLE BRIEFING NOTE</w:t>
            </w:r>
          </w:p>
          <w:p>
            <w:pPr>
              <w:pStyle w:val="Normal"/>
              <w:rPr/>
            </w:pPr>
            <w:r>
              <w:rPr/>
            </w:r>
          </w:p>
        </w:tc>
      </w:tr>
    </w:tbl>
    <w:p>
      <w:pPr>
        <w:pStyle w:val="Normal"/>
        <w:ind w:start="720" w:end="0"/>
        <w:rPr>
          <w:sz w:val="22"/>
        </w:rPr>
      </w:pPr>
      <w:r>
        <w:rPr>
          <w:sz w:val="22"/>
        </w:rPr>
      </w:r>
    </w:p>
    <w:p>
      <w:pPr>
        <w:pStyle w:val="Normal"/>
        <w:ind w:start="720" w:end="0"/>
        <w:rPr>
          <w:sz w:val="22"/>
        </w:rPr>
      </w:pPr>
      <w:r>
        <w:rPr>
          <w:sz w:val="22"/>
        </w:rPr>
      </w:r>
    </w:p>
    <w:p>
      <w:pPr>
        <w:pStyle w:val="Normal"/>
        <w:ind w:start="1260" w:end="0"/>
        <w:jc w:val="both"/>
        <w:rPr>
          <w:sz w:val="22"/>
        </w:rPr>
      </w:pPr>
      <w:r>
        <w:rPr>
          <w:sz w:val="22"/>
        </w:rPr>
        <w:t>The Duchess of Northumberland has embarked on a project to refurbish and improve the gardens at Alnwick Castle.</w:t>
      </w:r>
    </w:p>
    <w:p>
      <w:pPr>
        <w:pStyle w:val="Normal"/>
        <w:ind w:start="720" w:end="0"/>
        <w:jc w:val="both"/>
        <w:rPr>
          <w:sz w:val="22"/>
        </w:rPr>
      </w:pPr>
      <w:r>
        <w:rPr>
          <w:sz w:val="22"/>
        </w:rPr>
      </w:r>
    </w:p>
    <w:p>
      <w:pPr>
        <w:pStyle w:val="Normal"/>
        <w:ind w:start="1260" w:end="0"/>
        <w:jc w:val="both"/>
        <w:rPr>
          <w:sz w:val="22"/>
        </w:rPr>
      </w:pPr>
      <w:r>
        <w:rPr>
          <w:sz w:val="22"/>
        </w:rPr>
        <w:t>The overall cost of the project was envisaged as being some £25 million, of which the Duchess is contributing £5.5 million, with the intention of raising the rest through sponsorship.</w:t>
      </w:r>
    </w:p>
    <w:p>
      <w:pPr>
        <w:pStyle w:val="Normal"/>
        <w:ind w:start="720" w:end="0"/>
        <w:jc w:val="both"/>
        <w:rPr>
          <w:sz w:val="22"/>
        </w:rPr>
      </w:pPr>
      <w:r>
        <w:rPr>
          <w:sz w:val="22"/>
        </w:rPr>
      </w:r>
    </w:p>
    <w:p>
      <w:pPr>
        <w:pStyle w:val="Normal"/>
        <w:ind w:start="1260" w:end="0"/>
        <w:jc w:val="both"/>
        <w:rPr>
          <w:sz w:val="22"/>
        </w:rPr>
      </w:pPr>
      <w:r>
        <w:rPr>
          <w:sz w:val="22"/>
        </w:rPr>
        <w:t>Invent have been selected for the design contract and are also being considered for the construction element – depending on how much is raised through sponsorship this could be anywhere between £0.5 million and £4 million depending upon the final selections made.  There is also the chance of the long-term maintenance contract for the project.</w:t>
      </w:r>
    </w:p>
    <w:p>
      <w:pPr>
        <w:pStyle w:val="Normal"/>
        <w:ind w:start="720" w:end="0"/>
        <w:jc w:val="both"/>
        <w:rPr>
          <w:sz w:val="22"/>
        </w:rPr>
      </w:pPr>
      <w:r>
        <w:rPr>
          <w:sz w:val="22"/>
        </w:rPr>
      </w:r>
    </w:p>
    <w:p>
      <w:pPr>
        <w:pStyle w:val="Normal"/>
        <w:ind w:start="1260" w:end="0"/>
        <w:jc w:val="both"/>
        <w:rPr>
          <w:sz w:val="22"/>
        </w:rPr>
      </w:pPr>
      <w:r>
        <w:rPr>
          <w:sz w:val="22"/>
        </w:rPr>
        <w:t>To date the Duchess has been somewhat unsuccessful in persuading anyone to contribute to the costs of her garden.  This is in part due to her unwillingness to allow the normal benefits of sponsorship such as the garden bearing a company name, and also because she is personally worth around £250 million and as such is not recognised as a ‘worthy cause’.</w:t>
      </w:r>
    </w:p>
    <w:p>
      <w:pPr>
        <w:pStyle w:val="Normal"/>
        <w:ind w:start="720" w:end="0"/>
        <w:jc w:val="both"/>
        <w:rPr>
          <w:sz w:val="22"/>
        </w:rPr>
      </w:pPr>
      <w:r>
        <w:rPr>
          <w:sz w:val="22"/>
        </w:rPr>
      </w:r>
    </w:p>
    <w:p>
      <w:pPr>
        <w:pStyle w:val="Normal"/>
        <w:ind w:start="1260" w:end="0"/>
        <w:jc w:val="both"/>
        <w:rPr>
          <w:sz w:val="22"/>
        </w:rPr>
      </w:pPr>
      <w:r>
        <w:rPr>
          <w:sz w:val="22"/>
        </w:rPr>
        <w:t>However she has been very successful in getting the media involved and has signed a number of deals with the BBC and ITV, two of which will feature Invent.  She is also signing up people for the book rights.</w:t>
      </w:r>
    </w:p>
    <w:p>
      <w:pPr>
        <w:pStyle w:val="Normal"/>
        <w:ind w:start="720" w:end="0"/>
        <w:jc w:val="both"/>
        <w:rPr>
          <w:sz w:val="22"/>
        </w:rPr>
      </w:pPr>
      <w:r>
        <w:rPr>
          <w:sz w:val="22"/>
        </w:rPr>
      </w:r>
    </w:p>
    <w:p>
      <w:pPr>
        <w:pStyle w:val="Normal"/>
        <w:ind w:start="1260" w:end="0"/>
        <w:jc w:val="both"/>
        <w:rPr>
          <w:sz w:val="22"/>
        </w:rPr>
      </w:pPr>
      <w:r>
        <w:rPr>
          <w:sz w:val="22"/>
        </w:rPr>
        <w:t>She has now turned her attention to the people who are building the garden and asking them to sponsor some of the costs, and as Invent have such a large parent company we have become an obvious target.  The Duchess has written to both Graham Lay and Rebecca Mark, Graham Lay responded by passing it on to John Sheriff.  Unfortunately, to date, RM has not acknowledged the letter and this has been interpreted as being somewhat rude by the Duchess – a fact she mentions on a regular basis to our project manager.</w:t>
      </w:r>
    </w:p>
    <w:p>
      <w:pPr>
        <w:pStyle w:val="Normal"/>
        <w:ind w:start="720" w:end="0"/>
        <w:jc w:val="both"/>
        <w:rPr>
          <w:sz w:val="22"/>
        </w:rPr>
      </w:pPr>
      <w:r>
        <w:rPr>
          <w:sz w:val="22"/>
        </w:rPr>
      </w:r>
    </w:p>
    <w:p>
      <w:pPr>
        <w:pStyle w:val="Normal"/>
        <w:ind w:start="1260" w:end="0"/>
        <w:jc w:val="both"/>
        <w:rPr>
          <w:sz w:val="22"/>
        </w:rPr>
      </w:pPr>
      <w:r>
        <w:rPr>
          <w:sz w:val="22"/>
        </w:rPr>
        <w:t>Of late, there have been indications that they may consider other companies for some of the water features.  They have also indicated they may go out to competitive tender for the construction phase.</w:t>
      </w:r>
    </w:p>
    <w:p>
      <w:pPr>
        <w:pStyle w:val="Normal"/>
        <w:ind w:start="720" w:end="0"/>
        <w:jc w:val="both"/>
        <w:rPr>
          <w:sz w:val="22"/>
        </w:rPr>
      </w:pPr>
      <w:r>
        <w:rPr>
          <w:sz w:val="22"/>
        </w:rPr>
      </w:r>
    </w:p>
    <w:p>
      <w:pPr>
        <w:pStyle w:val="Normal"/>
        <w:ind w:start="1260" w:end="0"/>
        <w:jc w:val="both"/>
        <w:rPr>
          <w:sz w:val="22"/>
        </w:rPr>
      </w:pPr>
      <w:r>
        <w:rPr>
          <w:sz w:val="22"/>
        </w:rPr>
        <w:t>Due to her lack of success in raising the money, I believe that the Duchess is now taking a more pragmatic view on the situation and is willing to enter into discussions over giving something back in return for Sponsorship.  This could take the form of making the Castle available for corporate events involving country pursuits such as shooting and fishing.  This could be a cost-effective alternative to existing Corporate activities such as Analyst Roadshows and Corporate entertainment, or could be used for charitable purposes as a Wateraid fund-raiser.</w:t>
      </w:r>
      <w:r>
        <w:br w:type="page"/>
      </w:r>
    </w:p>
    <w:p>
      <w:pPr>
        <w:pStyle w:val="Normal"/>
        <w:ind w:start="720" w:end="0"/>
        <w:jc w:val="both"/>
        <w:rPr>
          <w:sz w:val="22"/>
        </w:rPr>
      </w:pPr>
      <w:r>
        <w:rPr>
          <w:sz w:val="22"/>
        </w:rPr>
      </w:r>
    </w:p>
    <w:p>
      <w:pPr>
        <w:pStyle w:val="Normal"/>
        <w:ind w:firstLine="540" w:start="720" w:end="0"/>
        <w:jc w:val="both"/>
        <w:rPr>
          <w:sz w:val="22"/>
        </w:rPr>
      </w:pPr>
      <w:r>
        <w:rPr>
          <w:sz w:val="22"/>
        </w:rPr>
        <w:t>Page 2</w:t>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start="1260" w:end="0"/>
        <w:jc w:val="both"/>
        <w:rPr>
          <w:sz w:val="22"/>
        </w:rPr>
      </w:pPr>
      <w:r>
        <w:rPr>
          <w:sz w:val="22"/>
        </w:rPr>
        <w:t>In the event that sponsorship is not an option, then it would be worthwhile agreeing to see the Duchess just to smooth over the issue of not having received a response from RM.</w:t>
      </w:r>
    </w:p>
    <w:p>
      <w:pPr>
        <w:pStyle w:val="Normal"/>
        <w:ind w:start="720" w:end="0"/>
        <w:jc w:val="both"/>
        <w:rPr>
          <w:sz w:val="22"/>
        </w:rPr>
      </w:pPr>
      <w:r>
        <w:rPr>
          <w:sz w:val="22"/>
        </w:rPr>
        <w:tab/>
      </w:r>
    </w:p>
    <w:p>
      <w:pPr>
        <w:pStyle w:val="Normal"/>
        <w:ind w:firstLine="540" w:start="720" w:end="0"/>
        <w:jc w:val="both"/>
        <w:rPr>
          <w:sz w:val="22"/>
        </w:rPr>
      </w:pPr>
      <w:r>
        <w:rPr>
          <w:sz w:val="22"/>
        </w:rPr>
        <w:t>Regards</w:t>
      </w:r>
    </w:p>
    <w:p>
      <w:pPr>
        <w:pStyle w:val="Normal"/>
        <w:ind w:start="720" w:end="0"/>
        <w:jc w:val="both"/>
        <w:rPr>
          <w:sz w:val="22"/>
        </w:rPr>
      </w:pPr>
      <w:r>
        <w:rPr>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firstLine="540" w:start="720" w:end="0"/>
        <w:jc w:val="both"/>
        <w:rPr>
          <w:sz w:val="22"/>
        </w:rPr>
      </w:pPr>
      <w:r>
        <w:rPr>
          <w:sz w:val="22"/>
        </w:rPr>
        <w:t>Mike O’Neill</w:t>
      </w:r>
    </w:p>
    <w:p>
      <w:pPr>
        <w:pStyle w:val="Heading8"/>
        <w:ind w:firstLine="540" w:start="720" w:end="0"/>
        <w:jc w:val="both"/>
        <w:rPr>
          <w:sz w:val="22"/>
        </w:rPr>
      </w:pPr>
      <w:r>
        <w:rPr>
          <w:sz w:val="22"/>
        </w:rPr>
        <w:t>Managing Director</w:t>
      </w:r>
    </w:p>
    <w:p>
      <w:pPr>
        <w:pStyle w:val="Normal"/>
        <w:ind w:start="1276" w:end="424"/>
        <w:jc w:val="both"/>
        <w:rPr>
          <w:sz w:val="22"/>
        </w:rPr>
      </w:pPr>
      <w:r>
        <w:rPr>
          <w:sz w:val="22"/>
        </w:rPr>
      </w:r>
    </w:p>
    <w:sectPr>
      <w:type w:val="nextPage"/>
      <w:pgSz w:w="11906" w:h="16838"/>
      <w:pgMar w:left="245" w:right="566" w:gutter="0" w:header="0" w:top="288" w:footer="0" w:bottom="53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GB" w:eastAsia="zh-CN" w:bidi="hi-IN"/>
    </w:rPr>
  </w:style>
  <w:style w:type="paragraph" w:styleId="Heading1">
    <w:name w:val="heading 1"/>
    <w:basedOn w:val="Normal"/>
    <w:next w:val="Normal"/>
    <w:qFormat/>
    <w:pPr>
      <w:keepNext w:val="true"/>
      <w:numPr>
        <w:ilvl w:val="0"/>
        <w:numId w:val="1"/>
      </w:numPr>
      <w:outlineLvl w:val="0"/>
    </w:pPr>
    <w:rPr>
      <w:rFonts w:ascii="Garamond" w:hAnsi="Garamond" w:cs="Garamond"/>
      <w:i/>
      <w:sz w:val="14"/>
      <w:u w:val="single"/>
    </w:rPr>
  </w:style>
  <w:style w:type="paragraph" w:styleId="Heading2">
    <w:name w:val="heading 2"/>
    <w:basedOn w:val="Normal"/>
    <w:next w:val="Normal"/>
    <w:qFormat/>
    <w:pPr>
      <w:keepNext w:val="true"/>
      <w:numPr>
        <w:ilvl w:val="1"/>
        <w:numId w:val="1"/>
      </w:numPr>
      <w:outlineLvl w:val="1"/>
    </w:pPr>
    <w:rPr>
      <w:rFonts w:ascii="Garamond" w:hAnsi="Garamond" w:cs="Garamond"/>
      <w:i/>
      <w:sz w:val="14"/>
    </w:rPr>
  </w:style>
  <w:style w:type="paragraph" w:styleId="Heading3">
    <w:name w:val="heading 3"/>
    <w:basedOn w:val="Normal"/>
    <w:next w:val="Normal"/>
    <w:qFormat/>
    <w:pPr>
      <w:keepNext w:val="true"/>
      <w:numPr>
        <w:ilvl w:val="2"/>
        <w:numId w:val="1"/>
      </w:numPr>
      <w:outlineLvl w:val="2"/>
    </w:pPr>
    <w:rPr>
      <w:rFonts w:ascii="Garamond" w:hAnsi="Garamond" w:cs="Garamond"/>
      <w:i/>
      <w:sz w:val="16"/>
    </w:rPr>
  </w:style>
  <w:style w:type="paragraph" w:styleId="Heading4">
    <w:name w:val="heading 4"/>
    <w:basedOn w:val="Normal"/>
    <w:next w:val="Normal"/>
    <w:qFormat/>
    <w:pPr>
      <w:keepNext w:val="true"/>
      <w:numPr>
        <w:ilvl w:val="3"/>
        <w:numId w:val="1"/>
      </w:numPr>
      <w:jc w:val="end"/>
      <w:outlineLvl w:val="3"/>
    </w:pPr>
    <w:rPr>
      <w:rFonts w:ascii="Garamond" w:hAnsi="Garamond" w:cs="Garamond"/>
      <w:i/>
      <w:sz w:val="16"/>
    </w:rPr>
  </w:style>
  <w:style w:type="paragraph" w:styleId="Heading5">
    <w:name w:val="heading 5"/>
    <w:basedOn w:val="Normal"/>
    <w:next w:val="Normal"/>
    <w:qFormat/>
    <w:pPr>
      <w:keepNext w:val="true"/>
      <w:numPr>
        <w:ilvl w:val="4"/>
        <w:numId w:val="1"/>
      </w:numPr>
      <w:outlineLvl w:val="4"/>
    </w:pPr>
    <w:rPr>
      <w:b/>
      <w:sz w:val="28"/>
    </w:rPr>
  </w:style>
  <w:style w:type="paragraph" w:styleId="Heading6">
    <w:name w:val="heading 6"/>
    <w:basedOn w:val="Normal"/>
    <w:next w:val="Normal"/>
    <w:qFormat/>
    <w:pPr>
      <w:keepNext w:val="true"/>
      <w:numPr>
        <w:ilvl w:val="5"/>
        <w:numId w:val="1"/>
      </w:numPr>
      <w:ind w:hanging="0" w:start="0" w:end="707"/>
      <w:outlineLvl w:val="5"/>
    </w:pPr>
    <w:rPr>
      <w:rFonts w:ascii="Garamond" w:hAnsi="Garamond" w:cs="Garamond"/>
      <w:i/>
      <w:sz w:val="16"/>
    </w:rPr>
  </w:style>
  <w:style w:type="paragraph" w:styleId="Heading7">
    <w:name w:val="heading 7"/>
    <w:basedOn w:val="Normal"/>
    <w:next w:val="Normal"/>
    <w:qFormat/>
    <w:pPr>
      <w:keepNext w:val="true"/>
      <w:numPr>
        <w:ilvl w:val="6"/>
        <w:numId w:val="1"/>
      </w:numPr>
      <w:outlineLvl w:val="6"/>
    </w:pPr>
    <w:rPr>
      <w:b/>
      <w:u w:val="single"/>
    </w:rPr>
  </w:style>
  <w:style w:type="paragraph" w:styleId="Heading8">
    <w:name w:val="heading 8"/>
    <w:basedOn w:val="Normal"/>
    <w:next w:val="Normal"/>
    <w:qFormat/>
    <w:pPr>
      <w:keepNext w:val="true"/>
      <w:numPr>
        <w:ilvl w:val="7"/>
        <w:numId w:val="1"/>
      </w:numPr>
      <w:outlineLvl w:val="7"/>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Lurgi Invent Limited 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2000-10-26T12:48:00Z</dcterms:created>
  <dc:creator>Sheila</dc:creator>
  <dc:description/>
  <dc:language>en-CA</dc:language>
  <cp:lastModifiedBy>Wessex Water</cp:lastModifiedBy>
  <cp:lastPrinted>2000-08-03T15:48:00Z</cp:lastPrinted>
  <dcterms:modified xsi:type="dcterms:W3CDTF">2000-10-26T12:48:00Z</dcterms:modified>
  <cp:revision>2</cp:revision>
  <dc:subject/>
  <dc:title>Lurgi Invent Limited  </dc:title>
</cp:coreProperties>
</file>