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nvelopeReturn"/>
        <w:rPr>
          <w:rFonts w:ascii="Century Gothic" w:hAnsi="Century Gothic" w:eastAsia="Century Gothic" w:cs="Century Gothic"/>
          <w:b/>
          <w:bCs/>
          <w:color w:val="0000FF"/>
        </w:rPr>
      </w:pPr>
      <w:r>
        <w:rPr>
          <w:rFonts w:eastAsia="Century Gothic" w:cs="Century Gothic" w:ascii="Century Gothic" w:hAnsi="Century Gothic"/>
          <w:b/>
          <w:bCs/>
          <w:color w:val="0000FF"/>
        </w:rPr>
        <w:t>Northern Natural Gas Company</w:t>
      </w:r>
    </w:p>
    <w:p>
      <w:pPr>
        <w:pStyle w:val="EnvelopeReturn"/>
        <w:rPr>
          <w:rFonts w:ascii="Times New Roman" w:hAnsi="Times New Roman" w:eastAsia="Times New Roman" w:cs="Times New Roman"/>
          <w:i/>
          <w:i/>
          <w:iCs/>
          <w:color w:val="0000FF"/>
          <w:sz w:val="16"/>
          <w:szCs w:val="16"/>
        </w:rPr>
      </w:pPr>
      <w:r>
        <w:rPr>
          <w:rFonts w:eastAsia="Times New Roman" w:cs="Times New Roman" w:ascii="Times New Roman" w:hAnsi="Times New Roman"/>
          <w:i/>
          <w:iCs/>
          <w:color w:val="0000FF"/>
          <w:sz w:val="16"/>
          <w:szCs w:val="16"/>
        </w:rPr>
        <w:t>P.O. Box 3330</w:t>
      </w:r>
    </w:p>
    <w:p>
      <w:pPr>
        <w:pStyle w:val="EnvelopeReturn"/>
        <w:rPr>
          <w:rFonts w:ascii="Times New Roman" w:hAnsi="Times New Roman" w:eastAsia="Times New Roman" w:cs="Times New Roman"/>
          <w:i/>
          <w:i/>
          <w:iCs/>
          <w:sz w:val="16"/>
          <w:szCs w:val="16"/>
        </w:rPr>
      </w:pPr>
      <w:r>
        <w:rPr>
          <w:rFonts w:eastAsia="Times New Roman" w:cs="Times New Roman" w:ascii="Times New Roman" w:hAnsi="Times New Roman"/>
          <w:i/>
          <w:iCs/>
          <w:color w:val="0000FF"/>
          <w:sz w:val="16"/>
          <w:szCs w:val="16"/>
        </w:rPr>
        <w:t>Omaha, NE  68103-0330</w:t>
      </w:r>
    </w:p>
    <w:p>
      <w:pPr>
        <w:pStyle w:val="Normal"/>
        <w:rPr>
          <w:rFonts w:ascii="Times New Roman" w:hAnsi="Times New Roman" w:eastAsia="Times New Roman" w:cs="Times New Roman"/>
          <w:i/>
          <w:i/>
          <w:iCs/>
          <w:sz w:val="16"/>
          <w:szCs w:val="16"/>
        </w:rPr>
      </w:pPr>
      <w:r>
        <w:rPr>
          <w:rFonts w:eastAsia="Times New Roman" w:cs="Times New Roman"/>
          <w:i/>
          <w:iCs/>
          <w:sz w:val="16"/>
          <w:szCs w:val="16"/>
        </w:rPr>
      </w:r>
    </w:p>
    <w:p>
      <w:pPr>
        <w:pStyle w:val="Normal"/>
        <w:rPr/>
      </w:pPr>
      <w:r>
        <w:rPr/>
      </w:r>
    </w:p>
    <w:p>
      <w:pPr>
        <w:pStyle w:val="Normal"/>
        <w:rPr/>
      </w:pPr>
      <w:r>
        <w:rPr/>
      </w:r>
    </w:p>
    <w:p>
      <w:pPr>
        <w:pStyle w:val="Normal"/>
        <w:rPr/>
      </w:pPr>
      <w:r>
        <w:rPr/>
      </w:r>
    </w:p>
    <w:p>
      <w:pPr>
        <w:pStyle w:val="EnvelopeReturn"/>
        <w:rPr>
          <w:rFonts w:ascii="Times New Roman" w:hAnsi="Times New Roman" w:eastAsia="Times New Roman" w:cs="Times New Roman"/>
        </w:rPr>
      </w:pPr>
      <w:r>
        <w:rPr>
          <w:rFonts w:eastAsia="Times New Roman" w:cs="Times New Roman" w:ascii="Times New Roman" w:hAnsi="Times New Roman"/>
        </w:rPr>
      </w:r>
    </w:p>
    <w:p>
      <w:pPr>
        <w:pStyle w:val="Normal"/>
        <w:rPr>
          <w:rFonts w:ascii="Arial" w:hAnsi="Arial" w:eastAsia="Arial" w:cs="Arial"/>
        </w:rPr>
      </w:pPr>
      <w:r>
        <w:rPr>
          <w:rFonts w:eastAsia="Arial" w:cs="Arial" w:ascii="Arial" w:hAnsi="Arial"/>
        </w:rPr>
        <w:t>January 30, 2002</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Ms. Kelly Schneider</w:t>
      </w:r>
    </w:p>
    <w:p>
      <w:pPr>
        <w:pStyle w:val="Normal"/>
        <w:rPr>
          <w:rFonts w:ascii="Arial" w:hAnsi="Arial" w:eastAsia="Arial" w:cs="Arial"/>
        </w:rPr>
      </w:pPr>
      <w:r>
        <w:rPr>
          <w:rFonts w:eastAsia="Arial" w:cs="Arial" w:ascii="Arial" w:hAnsi="Arial"/>
        </w:rPr>
        <w:t>Alliant Energy</w:t>
      </w:r>
    </w:p>
    <w:p>
      <w:pPr>
        <w:pStyle w:val="Normal"/>
        <w:rPr>
          <w:rFonts w:ascii="Arial" w:hAnsi="Arial" w:eastAsia="Arial" w:cs="Arial"/>
        </w:rPr>
      </w:pPr>
      <w:r>
        <w:rPr>
          <w:rFonts w:eastAsia="Arial" w:cs="Arial" w:ascii="Arial" w:hAnsi="Arial"/>
        </w:rPr>
        <w:t>222 West Washington Ave.</w:t>
      </w:r>
    </w:p>
    <w:p>
      <w:pPr>
        <w:pStyle w:val="Normal"/>
        <w:rPr>
          <w:rFonts w:ascii="Arial" w:hAnsi="Arial" w:eastAsia="Arial" w:cs="Arial"/>
        </w:rPr>
      </w:pPr>
      <w:r>
        <w:rPr>
          <w:rFonts w:eastAsia="Arial" w:cs="Arial" w:ascii="Arial" w:hAnsi="Arial"/>
        </w:rPr>
        <w:t>P.O. Box 192</w:t>
      </w:r>
    </w:p>
    <w:p>
      <w:pPr>
        <w:pStyle w:val="Normal"/>
        <w:rPr>
          <w:rFonts w:ascii="Arial" w:hAnsi="Arial" w:eastAsia="Arial" w:cs="Arial"/>
        </w:rPr>
      </w:pPr>
      <w:r>
        <w:rPr>
          <w:rFonts w:eastAsia="Arial" w:cs="Arial" w:ascii="Arial" w:hAnsi="Arial"/>
        </w:rPr>
        <w:t>Madison, WI 53701-0192</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Re:  December 10, 2001 Customer Meeting</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Dear Kelly:</w:t>
      </w:r>
    </w:p>
    <w:p>
      <w:pPr>
        <w:pStyle w:val="Normal"/>
        <w:rPr>
          <w:rFonts w:ascii="Arial" w:hAnsi="Arial" w:eastAsia="Arial" w:cs="Arial"/>
        </w:rPr>
      </w:pPr>
      <w:r>
        <w:rPr>
          <w:rFonts w:eastAsia="Arial" w:cs="Arial" w:ascii="Arial" w:hAnsi="Arial"/>
        </w:rPr>
      </w:r>
    </w:p>
    <w:p>
      <w:pPr>
        <w:pStyle w:val="BodyText"/>
        <w:rPr>
          <w:rFonts w:ascii="Arial" w:hAnsi="Arial" w:eastAsia="Arial" w:cs="Arial"/>
          <w:sz w:val="20"/>
          <w:szCs w:val="20"/>
        </w:rPr>
      </w:pPr>
      <w:r>
        <w:rPr>
          <w:rFonts w:eastAsia="Arial" w:cs="Arial" w:ascii="Arial" w:hAnsi="Arial"/>
          <w:sz w:val="20"/>
          <w:szCs w:val="20"/>
        </w:rPr>
        <w:t xml:space="preserve">The following is a summary of Northern’s progress to date and action plan for the issues discussed at our meeting this past December.  Northern has cleared and/or credited to Alliant a total of $77,734.02 and is in the process of clearing an additional $4,207.00 for a total of $81,941.02 as described below.  All outstanding accounting items will be clean with the exception of Alliant’s outstanding payable due Northern of $932,585.91 for dollar value imbalances of deliveries made by Northern to Cherokee, Iowa.  It is Northern’s expectation that the Cherokee imbalance amount will be paid in full by Alliant.  </w:t>
      </w:r>
    </w:p>
    <w:p>
      <w:pPr>
        <w:pStyle w:val="BodyText"/>
        <w:rPr>
          <w:rFonts w:ascii="Arial" w:hAnsi="Arial" w:eastAsia="Arial" w:cs="Arial"/>
          <w:sz w:val="20"/>
          <w:szCs w:val="20"/>
        </w:rPr>
      </w:pPr>
      <w:r>
        <w:rPr>
          <w:rFonts w:eastAsia="Arial" w:cs="Arial" w:ascii="Arial" w:hAnsi="Arial"/>
          <w:sz w:val="20"/>
          <w:szCs w:val="20"/>
        </w:rPr>
      </w:r>
    </w:p>
    <w:p>
      <w:pPr>
        <w:pStyle w:val="BodyText"/>
        <w:rPr>
          <w:rFonts w:ascii="Arial" w:hAnsi="Arial" w:eastAsia="Arial" w:cs="Arial"/>
          <w:b/>
          <w:bCs/>
          <w:sz w:val="20"/>
          <w:szCs w:val="20"/>
          <w:u w:val="single"/>
        </w:rPr>
      </w:pPr>
      <w:r>
        <w:rPr>
          <w:rFonts w:eastAsia="Arial" w:cs="Arial" w:ascii="Arial" w:hAnsi="Arial"/>
          <w:b/>
          <w:bCs/>
          <w:sz w:val="20"/>
          <w:szCs w:val="20"/>
          <w:u w:val="single"/>
        </w:rPr>
        <w:t>Accounts Payable</w:t>
      </w:r>
    </w:p>
    <w:p>
      <w:pPr>
        <w:pStyle w:val="BodyText"/>
        <w:numPr>
          <w:ilvl w:val="0"/>
          <w:numId w:val="2"/>
        </w:numPr>
        <w:tabs>
          <w:tab w:val="clear" w:pos="720"/>
          <w:tab w:val="left" w:pos="0" w:leader="none"/>
        </w:tabs>
        <w:ind w:hanging="360" w:start="720" w:end="0"/>
        <w:rPr>
          <w:rFonts w:ascii="Arial" w:hAnsi="Arial" w:eastAsia="Arial" w:cs="Arial"/>
          <w:sz w:val="20"/>
          <w:szCs w:val="20"/>
        </w:rPr>
      </w:pPr>
      <w:r>
        <w:rPr>
          <w:rFonts w:eastAsia="Arial" w:cs="Arial" w:ascii="Arial" w:hAnsi="Arial"/>
          <w:sz w:val="20"/>
          <w:szCs w:val="20"/>
        </w:rPr>
        <w:t>Northern has cleared and/or issued credits to Alliant for a total of $77,734.02 as follows:</w:t>
      </w:r>
    </w:p>
    <w:p>
      <w:pPr>
        <w:pStyle w:val="BodyText"/>
        <w:numPr>
          <w:ilvl w:val="0"/>
          <w:numId w:val="3"/>
        </w:numPr>
        <w:tabs>
          <w:tab w:val="clear" w:pos="720"/>
          <w:tab w:val="left" w:pos="0" w:leader="none"/>
          <w:tab w:val="left" w:pos="360" w:leader="none"/>
        </w:tabs>
        <w:ind w:hanging="720" w:start="1080" w:end="0"/>
        <w:rPr>
          <w:rFonts w:ascii="Arial" w:hAnsi="Arial" w:eastAsia="Arial" w:cs="Arial"/>
          <w:sz w:val="20"/>
          <w:szCs w:val="20"/>
        </w:rPr>
      </w:pPr>
      <w:r>
        <w:rPr>
          <w:rFonts w:eastAsia="Arial" w:cs="Arial" w:ascii="Arial" w:hAnsi="Arial"/>
          <w:sz w:val="20"/>
          <w:szCs w:val="20"/>
        </w:rPr>
        <w:t>$45,425.46 – Northern agreed to waive $45,425.46 of 1995-1999 commodity, imbalance, and penalty invoices.</w:t>
      </w:r>
    </w:p>
    <w:p>
      <w:pPr>
        <w:pStyle w:val="BodyText"/>
        <w:numPr>
          <w:ilvl w:val="0"/>
          <w:numId w:val="3"/>
        </w:numPr>
        <w:tabs>
          <w:tab w:val="clear" w:pos="720"/>
          <w:tab w:val="left" w:pos="0" w:leader="none"/>
          <w:tab w:val="left" w:pos="360" w:leader="none"/>
        </w:tabs>
        <w:ind w:hanging="720" w:start="1080" w:end="0"/>
        <w:rPr>
          <w:rFonts w:ascii="Arial" w:hAnsi="Arial" w:eastAsia="Arial" w:cs="Arial"/>
          <w:sz w:val="20"/>
          <w:szCs w:val="20"/>
        </w:rPr>
      </w:pPr>
      <w:r>
        <w:rPr>
          <w:rFonts w:eastAsia="Arial" w:cs="Arial" w:ascii="Arial" w:hAnsi="Arial"/>
          <w:sz w:val="20"/>
          <w:szCs w:val="20"/>
        </w:rPr>
        <w:t xml:space="preserve">$23,697.36 – Northern agreed to waive DDVC penalties associated with the Cherokee TBS from July 1999 to April 2001.  Alliant owes Northern $932,585.91 for July 1999 to October 2000 imbalance cashout and commodity invoices.    </w:t>
      </w:r>
    </w:p>
    <w:p>
      <w:pPr>
        <w:pStyle w:val="BodyText"/>
        <w:numPr>
          <w:ilvl w:val="0"/>
          <w:numId w:val="3"/>
        </w:numPr>
        <w:tabs>
          <w:tab w:val="clear" w:pos="720"/>
          <w:tab w:val="left" w:pos="0" w:leader="none"/>
          <w:tab w:val="left" w:pos="360" w:leader="none"/>
        </w:tabs>
        <w:ind w:hanging="720" w:start="1080" w:end="0"/>
        <w:rPr>
          <w:rFonts w:ascii="Arial" w:hAnsi="Arial" w:eastAsia="Arial" w:cs="Arial"/>
          <w:sz w:val="20"/>
          <w:szCs w:val="20"/>
        </w:rPr>
      </w:pPr>
      <w:r>
        <w:rPr>
          <w:rFonts w:eastAsia="Arial" w:cs="Arial" w:ascii="Arial" w:hAnsi="Arial"/>
          <w:sz w:val="20"/>
          <w:szCs w:val="20"/>
        </w:rPr>
        <w:t>$6,152.45 - Alliant received a net credit of $6,152.45 associated with October 2001 daily measurement estimates.</w:t>
      </w:r>
    </w:p>
    <w:p>
      <w:pPr>
        <w:pStyle w:val="BodyText"/>
        <w:numPr>
          <w:ilvl w:val="0"/>
          <w:numId w:val="3"/>
        </w:numPr>
        <w:tabs>
          <w:tab w:val="clear" w:pos="720"/>
          <w:tab w:val="left" w:pos="0" w:leader="none"/>
          <w:tab w:val="left" w:pos="360" w:leader="none"/>
        </w:tabs>
        <w:ind w:hanging="360" w:start="1080" w:end="0"/>
        <w:rPr>
          <w:rFonts w:ascii="Arial" w:hAnsi="Arial" w:eastAsia="Arial" w:cs="Arial"/>
          <w:sz w:val="20"/>
          <w:szCs w:val="20"/>
        </w:rPr>
      </w:pPr>
      <w:r>
        <w:rPr>
          <w:rFonts w:eastAsia="Arial" w:cs="Arial" w:ascii="Arial" w:hAnsi="Arial"/>
          <w:sz w:val="20"/>
          <w:szCs w:val="20"/>
        </w:rPr>
        <w:t>$2,458.75 - Northern waived $2,458.75 in punitive DDVCs for the billing month of January 2000 which were associated with the new Atlantic meter.</w:t>
      </w:r>
    </w:p>
    <w:p>
      <w:pPr>
        <w:pStyle w:val="BodyText"/>
        <w:numPr>
          <w:ilvl w:val="0"/>
          <w:numId w:val="4"/>
        </w:numPr>
        <w:tabs>
          <w:tab w:val="clear" w:pos="720"/>
          <w:tab w:val="left" w:pos="0" w:leader="none"/>
        </w:tabs>
        <w:ind w:hanging="360" w:start="720" w:end="0"/>
        <w:rPr>
          <w:rFonts w:ascii="Arial" w:hAnsi="Arial" w:eastAsia="Arial" w:cs="Arial"/>
          <w:sz w:val="20"/>
          <w:szCs w:val="20"/>
        </w:rPr>
      </w:pPr>
      <w:r>
        <w:rPr>
          <w:rFonts w:eastAsia="Arial" w:cs="Arial" w:ascii="Arial" w:hAnsi="Arial"/>
          <w:sz w:val="20"/>
          <w:szCs w:val="20"/>
        </w:rPr>
        <w:t>Northern is in the process of clearing or issuing credits to Alliant for a total of $4,207.00 as follows:</w:t>
      </w:r>
    </w:p>
    <w:p>
      <w:pPr>
        <w:pStyle w:val="BodyText"/>
        <w:keepNext w:val="true"/>
        <w:keepLines/>
        <w:numPr>
          <w:ilvl w:val="0"/>
          <w:numId w:val="5"/>
        </w:numPr>
        <w:tabs>
          <w:tab w:val="clear" w:pos="720"/>
          <w:tab w:val="left" w:pos="0" w:leader="none"/>
          <w:tab w:val="left" w:pos="360" w:leader="none"/>
        </w:tabs>
        <w:ind w:hanging="720" w:start="1080" w:end="0"/>
        <w:rPr>
          <w:rFonts w:ascii="Arial" w:hAnsi="Arial" w:eastAsia="Arial" w:cs="Arial"/>
          <w:sz w:val="20"/>
          <w:szCs w:val="20"/>
        </w:rPr>
      </w:pPr>
      <w:r>
        <w:rPr>
          <w:rFonts w:eastAsia="Arial" w:cs="Arial" w:ascii="Arial" w:hAnsi="Arial"/>
          <w:sz w:val="20"/>
          <w:szCs w:val="20"/>
        </w:rPr>
        <w:t>$3,027.60 - Alliant was unable to reduce storage withdrawals on two gas days in November.  Northern explained a storage withdrawal couldn’t occur when Northern is allocating storage injections.  Alliant contends Northern’s FDD-Final NNG 8:00 AM Cycle Guidelines do not address all procedures.  Given the particular unique circumstances on these days, it was agreed Northern will waive $3,027.60 of DDVC penalties incurred on 11/14/01 and 11/18/01 when storage allocations occurred.</w:t>
      </w:r>
    </w:p>
    <w:p>
      <w:pPr>
        <w:pStyle w:val="BodyText"/>
        <w:numPr>
          <w:ilvl w:val="0"/>
          <w:numId w:val="5"/>
        </w:numPr>
        <w:tabs>
          <w:tab w:val="clear" w:pos="720"/>
          <w:tab w:val="left" w:pos="0" w:leader="none"/>
          <w:tab w:val="left" w:pos="360" w:leader="none"/>
        </w:tabs>
        <w:ind w:hanging="360" w:start="1080" w:end="0"/>
        <w:rPr>
          <w:rFonts w:ascii="Arial" w:hAnsi="Arial" w:eastAsia="Arial" w:cs="Arial"/>
          <w:sz w:val="20"/>
          <w:szCs w:val="20"/>
        </w:rPr>
      </w:pPr>
      <w:r>
        <w:rPr>
          <w:rFonts w:eastAsia="Arial" w:cs="Arial" w:ascii="Arial" w:hAnsi="Arial"/>
          <w:sz w:val="20"/>
          <w:szCs w:val="20"/>
        </w:rPr>
        <w:t>$1,179.40 – During the summer of 2000, the pulse reading on the Albert Lea meter was not set properly for cold weather.  Northern will credit Alliant $1,179.40 for the December 2000 Zone EF DDVC penalties associated with the underage.</w:t>
      </w:r>
    </w:p>
    <w:p>
      <w:pPr>
        <w:pStyle w:val="BodyText"/>
        <w:rPr>
          <w:rFonts w:ascii="Arial" w:hAnsi="Arial" w:eastAsia="Arial" w:cs="Arial"/>
          <w:sz w:val="20"/>
          <w:szCs w:val="20"/>
        </w:rPr>
      </w:pPr>
      <w:r>
        <w:rPr>
          <w:rFonts w:eastAsia="Arial" w:cs="Arial" w:ascii="Arial" w:hAnsi="Arial"/>
          <w:sz w:val="20"/>
          <w:szCs w:val="20"/>
        </w:rPr>
      </w:r>
    </w:p>
    <w:p>
      <w:pPr>
        <w:pStyle w:val="BodyText"/>
        <w:rPr>
          <w:rFonts w:ascii="Arial" w:hAnsi="Arial" w:eastAsia="Arial" w:cs="Arial"/>
          <w:sz w:val="20"/>
          <w:szCs w:val="20"/>
        </w:rPr>
      </w:pPr>
      <w:r>
        <w:rPr>
          <w:rFonts w:eastAsia="Arial" w:cs="Arial" w:ascii="Arial" w:hAnsi="Arial"/>
          <w:sz w:val="20"/>
          <w:szCs w:val="20"/>
        </w:rPr>
      </w:r>
    </w:p>
    <w:p>
      <w:pPr>
        <w:pStyle w:val="BodyText"/>
        <w:rPr>
          <w:rFonts w:ascii="Arial" w:hAnsi="Arial" w:eastAsia="Arial" w:cs="Arial"/>
          <w:sz w:val="20"/>
          <w:szCs w:val="20"/>
        </w:rPr>
      </w:pPr>
      <w:r>
        <w:rPr>
          <w:rFonts w:eastAsia="Arial" w:cs="Arial" w:ascii="Arial" w:hAnsi="Arial"/>
          <w:sz w:val="20"/>
          <w:szCs w:val="20"/>
        </w:rPr>
      </w:r>
    </w:p>
    <w:p>
      <w:pPr>
        <w:pStyle w:val="BodyText"/>
        <w:rPr>
          <w:rFonts w:ascii="Arial" w:hAnsi="Arial" w:eastAsia="Arial" w:cs="Arial"/>
          <w:sz w:val="20"/>
          <w:szCs w:val="20"/>
        </w:rPr>
      </w:pPr>
      <w:r>
        <w:rPr>
          <w:rFonts w:eastAsia="Arial" w:cs="Arial" w:ascii="Arial" w:hAnsi="Arial"/>
          <w:sz w:val="20"/>
          <w:szCs w:val="20"/>
        </w:rPr>
        <w:t>Kelly Schneider</w:t>
      </w:r>
    </w:p>
    <w:p>
      <w:pPr>
        <w:pStyle w:val="BodyText"/>
        <w:rPr>
          <w:rFonts w:ascii="Arial" w:hAnsi="Arial" w:eastAsia="Arial" w:cs="Arial"/>
          <w:sz w:val="20"/>
          <w:szCs w:val="20"/>
        </w:rPr>
      </w:pPr>
      <w:r>
        <w:rPr>
          <w:rFonts w:eastAsia="Arial" w:cs="Arial" w:ascii="Arial" w:hAnsi="Arial"/>
          <w:sz w:val="20"/>
          <w:szCs w:val="20"/>
        </w:rPr>
        <w:t>January 30, 2002</w:t>
      </w:r>
    </w:p>
    <w:p>
      <w:pPr>
        <w:pStyle w:val="BodyText"/>
        <w:rPr>
          <w:rFonts w:ascii="Arial" w:hAnsi="Arial" w:eastAsia="Arial" w:cs="Arial"/>
          <w:sz w:val="20"/>
          <w:szCs w:val="20"/>
        </w:rPr>
      </w:pPr>
      <w:r>
        <w:rPr>
          <w:rFonts w:eastAsia="Arial" w:cs="Arial" w:ascii="Arial" w:hAnsi="Arial"/>
          <w:sz w:val="20"/>
          <w:szCs w:val="20"/>
        </w:rPr>
        <w:t>Page 2</w:t>
      </w:r>
    </w:p>
    <w:p>
      <w:pPr>
        <w:pStyle w:val="BodyText"/>
        <w:rPr>
          <w:rFonts w:ascii="Arial" w:hAnsi="Arial" w:eastAsia="Arial" w:cs="Arial"/>
          <w:sz w:val="20"/>
          <w:szCs w:val="20"/>
        </w:rPr>
      </w:pPr>
      <w:r>
        <w:rPr>
          <w:rFonts w:eastAsia="Arial" w:cs="Arial" w:ascii="Arial" w:hAnsi="Arial"/>
          <w:sz w:val="20"/>
          <w:szCs w:val="20"/>
        </w:rPr>
      </w:r>
    </w:p>
    <w:p>
      <w:pPr>
        <w:pStyle w:val="BodyText"/>
        <w:rPr>
          <w:rFonts w:ascii="Arial" w:hAnsi="Arial" w:eastAsia="Arial" w:cs="Arial"/>
          <w:sz w:val="20"/>
          <w:szCs w:val="20"/>
        </w:rPr>
      </w:pPr>
      <w:r>
        <w:rPr>
          <w:rFonts w:eastAsia="Arial" w:cs="Arial" w:ascii="Arial" w:hAnsi="Arial"/>
          <w:sz w:val="20"/>
          <w:szCs w:val="20"/>
        </w:rPr>
      </w:r>
    </w:p>
    <w:p>
      <w:pPr>
        <w:pStyle w:val="BodyText"/>
        <w:rPr>
          <w:rFonts w:ascii="Arial" w:hAnsi="Arial" w:eastAsia="Arial" w:cs="Arial"/>
          <w:sz w:val="20"/>
          <w:szCs w:val="20"/>
        </w:rPr>
      </w:pPr>
      <w:r>
        <w:rPr>
          <w:rFonts w:eastAsia="Arial" w:cs="Arial" w:ascii="Arial" w:hAnsi="Arial"/>
          <w:sz w:val="20"/>
          <w:szCs w:val="20"/>
        </w:rPr>
      </w:r>
    </w:p>
    <w:p>
      <w:pPr>
        <w:pStyle w:val="BodyText"/>
        <w:rPr>
          <w:rFonts w:ascii="Arial" w:hAnsi="Arial" w:eastAsia="Arial" w:cs="Arial"/>
          <w:sz w:val="20"/>
          <w:szCs w:val="20"/>
        </w:rPr>
      </w:pPr>
      <w:r>
        <w:rPr>
          <w:rFonts w:eastAsia="Arial" w:cs="Arial" w:ascii="Arial" w:hAnsi="Arial"/>
          <w:sz w:val="20"/>
          <w:szCs w:val="20"/>
        </w:rPr>
        <w:t>There were numerous issues brought up in our last meeting and are discussed below:</w:t>
      </w:r>
    </w:p>
    <w:p>
      <w:pPr>
        <w:pStyle w:val="BodyText"/>
        <w:rPr>
          <w:rFonts w:ascii="Arial" w:hAnsi="Arial" w:eastAsia="Arial" w:cs="Arial"/>
          <w:b/>
          <w:bCs/>
          <w:sz w:val="20"/>
          <w:szCs w:val="20"/>
          <w:u w:val="single"/>
        </w:rPr>
      </w:pPr>
      <w:r>
        <w:rPr>
          <w:rFonts w:eastAsia="Arial" w:cs="Arial" w:ascii="Arial" w:hAnsi="Arial"/>
          <w:b/>
          <w:bCs/>
          <w:sz w:val="20"/>
          <w:szCs w:val="20"/>
          <w:u w:val="single"/>
        </w:rPr>
      </w:r>
    </w:p>
    <w:p>
      <w:pPr>
        <w:pStyle w:val="BodyText"/>
        <w:rPr>
          <w:rFonts w:ascii="Arial" w:hAnsi="Arial" w:eastAsia="Arial" w:cs="Arial"/>
          <w:b/>
          <w:bCs/>
          <w:sz w:val="20"/>
          <w:szCs w:val="20"/>
          <w:u w:val="single"/>
        </w:rPr>
      </w:pPr>
      <w:r>
        <w:rPr>
          <w:rFonts w:eastAsia="Arial" w:cs="Arial" w:ascii="Arial" w:hAnsi="Arial"/>
          <w:b/>
          <w:bCs/>
          <w:sz w:val="20"/>
          <w:szCs w:val="20"/>
          <w:u w:val="single"/>
        </w:rPr>
        <w:t>Measurement Data</w:t>
      </w:r>
    </w:p>
    <w:p>
      <w:pPr>
        <w:pStyle w:val="BodyText"/>
        <w:numPr>
          <w:ilvl w:val="0"/>
          <w:numId w:val="6"/>
        </w:numPr>
        <w:tabs>
          <w:tab w:val="clear" w:pos="720"/>
          <w:tab w:val="left" w:pos="0" w:leader="none"/>
        </w:tabs>
        <w:ind w:hanging="720" w:start="720" w:end="0"/>
        <w:rPr>
          <w:rFonts w:ascii="Arial" w:hAnsi="Arial" w:eastAsia="Arial" w:cs="Arial"/>
          <w:sz w:val="20"/>
          <w:szCs w:val="20"/>
        </w:rPr>
      </w:pPr>
      <w:r>
        <w:rPr>
          <w:rFonts w:eastAsia="Arial" w:cs="Arial" w:ascii="Arial" w:hAnsi="Arial"/>
          <w:sz w:val="20"/>
          <w:szCs w:val="20"/>
        </w:rPr>
        <w:t>Alliant is to submit to Northern a list of sites ranked by priority where Alliant would like EFM installed.</w:t>
      </w:r>
    </w:p>
    <w:p>
      <w:pPr>
        <w:pStyle w:val="BodyText"/>
        <w:numPr>
          <w:ilvl w:val="0"/>
          <w:numId w:val="6"/>
        </w:numPr>
        <w:tabs>
          <w:tab w:val="clear" w:pos="720"/>
          <w:tab w:val="left" w:pos="0" w:leader="none"/>
        </w:tabs>
        <w:ind w:hanging="360" w:start="720" w:end="0"/>
        <w:rPr>
          <w:rFonts w:ascii="Arial" w:hAnsi="Arial" w:eastAsia="Arial" w:cs="Arial"/>
          <w:sz w:val="20"/>
          <w:szCs w:val="20"/>
        </w:rPr>
      </w:pPr>
      <w:r>
        <w:rPr>
          <w:rFonts w:eastAsia="Arial" w:cs="Arial" w:ascii="Arial" w:hAnsi="Arial"/>
          <w:sz w:val="20"/>
          <w:szCs w:val="20"/>
        </w:rPr>
        <w:t>Alliant requested Northern tag the changes made on PPA invoices.</w:t>
      </w:r>
    </w:p>
    <w:p>
      <w:pPr>
        <w:pStyle w:val="BodyText"/>
        <w:numPr>
          <w:ilvl w:val="0"/>
          <w:numId w:val="7"/>
        </w:numPr>
        <w:tabs>
          <w:tab w:val="clear" w:pos="720"/>
          <w:tab w:val="left" w:pos="0" w:leader="none"/>
          <w:tab w:val="left" w:pos="360" w:leader="none"/>
        </w:tabs>
        <w:ind w:hanging="720" w:start="1080" w:end="0"/>
        <w:rPr>
          <w:rFonts w:ascii="Arial" w:hAnsi="Arial" w:eastAsia="Arial" w:cs="Arial"/>
          <w:sz w:val="20"/>
          <w:szCs w:val="20"/>
        </w:rPr>
      </w:pPr>
      <w:r>
        <w:rPr>
          <w:rFonts w:eastAsia="Arial" w:cs="Arial" w:ascii="Arial" w:hAnsi="Arial"/>
          <w:sz w:val="20"/>
          <w:szCs w:val="20"/>
        </w:rPr>
        <w:t xml:space="preserve">Northern does not have the ability to compare each gate behind Alliant’s original invoice detail with the PPA detail.  Northern will continue to evaluate the feasibility of system enhancements to identify adjustments.  </w:t>
      </w:r>
    </w:p>
    <w:p>
      <w:pPr>
        <w:pStyle w:val="BodyText"/>
        <w:numPr>
          <w:ilvl w:val="0"/>
          <w:numId w:val="7"/>
        </w:numPr>
        <w:tabs>
          <w:tab w:val="clear" w:pos="720"/>
          <w:tab w:val="left" w:pos="0" w:leader="none"/>
          <w:tab w:val="left" w:pos="360" w:leader="none"/>
        </w:tabs>
        <w:ind w:hanging="360" w:start="1080" w:end="0"/>
        <w:rPr>
          <w:rFonts w:ascii="Arial" w:hAnsi="Arial" w:eastAsia="Arial" w:cs="Arial"/>
          <w:sz w:val="20"/>
          <w:szCs w:val="20"/>
        </w:rPr>
      </w:pPr>
      <w:r>
        <w:rPr>
          <w:rFonts w:eastAsia="Arial" w:cs="Arial" w:ascii="Arial" w:hAnsi="Arial"/>
          <w:sz w:val="20"/>
          <w:szCs w:val="20"/>
        </w:rPr>
        <w:t>Northern’s Measurement group is in the final testing phase for a new system enhancement that will add reason codes and remarks to corrected Daily Volume Statements.  This detail will make it easier for Alliant to identify measurement adjustments.</w:t>
      </w:r>
    </w:p>
    <w:p>
      <w:pPr>
        <w:pStyle w:val="BodyText"/>
        <w:numPr>
          <w:ilvl w:val="0"/>
          <w:numId w:val="8"/>
        </w:numPr>
        <w:tabs>
          <w:tab w:val="clear" w:pos="720"/>
          <w:tab w:val="left" w:pos="0" w:leader="none"/>
        </w:tabs>
        <w:ind w:hanging="360" w:start="720" w:end="0"/>
        <w:rPr>
          <w:rFonts w:ascii="Arial" w:hAnsi="Arial" w:eastAsia="Arial" w:cs="Arial"/>
          <w:sz w:val="20"/>
          <w:szCs w:val="20"/>
        </w:rPr>
      </w:pPr>
      <w:r>
        <w:rPr>
          <w:rFonts w:eastAsia="Arial" w:cs="Arial" w:ascii="Arial" w:hAnsi="Arial"/>
          <w:sz w:val="20"/>
          <w:szCs w:val="20"/>
        </w:rPr>
        <w:t>Alliant requested the ability to export and download gate station detail.</w:t>
      </w:r>
    </w:p>
    <w:p>
      <w:pPr>
        <w:pStyle w:val="BodyText"/>
        <w:numPr>
          <w:ilvl w:val="0"/>
          <w:numId w:val="9"/>
        </w:numPr>
        <w:tabs>
          <w:tab w:val="clear" w:pos="720"/>
          <w:tab w:val="left" w:pos="0" w:leader="none"/>
          <w:tab w:val="left" w:pos="360" w:leader="none"/>
        </w:tabs>
        <w:ind w:hanging="720" w:start="1080" w:end="0"/>
        <w:rPr>
          <w:rFonts w:ascii="Arial" w:hAnsi="Arial" w:eastAsia="Arial" w:cs="Arial"/>
          <w:sz w:val="20"/>
          <w:szCs w:val="20"/>
        </w:rPr>
      </w:pPr>
      <w:r>
        <w:rPr>
          <w:rFonts w:eastAsia="Arial" w:cs="Arial" w:ascii="Arial" w:hAnsi="Arial"/>
          <w:sz w:val="20"/>
          <w:szCs w:val="20"/>
        </w:rPr>
        <w:t xml:space="preserve">Northern’s new flowgas system provides shippers access to measurement detail back to May 2000.  Larry Berger of Gas Logistics (713-853-1502) has worked with Jeff Hicken on how to download this information. </w:t>
      </w:r>
    </w:p>
    <w:p>
      <w:pPr>
        <w:pStyle w:val="BodyText"/>
        <w:keepNext w:val="true"/>
        <w:keepLines/>
        <w:rPr>
          <w:rFonts w:ascii="Arial" w:hAnsi="Arial" w:eastAsia="Arial" w:cs="Arial"/>
          <w:b/>
          <w:bCs/>
          <w:sz w:val="20"/>
          <w:szCs w:val="20"/>
          <w:u w:val="single"/>
        </w:rPr>
      </w:pPr>
      <w:r>
        <w:rPr>
          <w:rFonts w:eastAsia="Arial" w:cs="Arial" w:ascii="Arial" w:hAnsi="Arial"/>
          <w:b/>
          <w:bCs/>
          <w:sz w:val="20"/>
          <w:szCs w:val="20"/>
          <w:u w:val="single"/>
        </w:rPr>
      </w:r>
    </w:p>
    <w:p>
      <w:pPr>
        <w:pStyle w:val="BodyText"/>
        <w:keepNext w:val="true"/>
        <w:keepLines/>
        <w:rPr>
          <w:rFonts w:ascii="Arial" w:hAnsi="Arial" w:eastAsia="Arial" w:cs="Arial"/>
          <w:b/>
          <w:bCs/>
          <w:sz w:val="20"/>
          <w:szCs w:val="20"/>
          <w:u w:val="single"/>
        </w:rPr>
      </w:pPr>
      <w:r>
        <w:rPr>
          <w:rFonts w:eastAsia="Arial" w:cs="Arial" w:ascii="Arial" w:hAnsi="Arial"/>
          <w:b/>
          <w:bCs/>
          <w:sz w:val="20"/>
          <w:szCs w:val="20"/>
          <w:u w:val="single"/>
        </w:rPr>
        <w:t>Storage</w:t>
      </w:r>
    </w:p>
    <w:p>
      <w:pPr>
        <w:pStyle w:val="BodyText"/>
        <w:keepNext w:val="true"/>
        <w:keepLines/>
        <w:numPr>
          <w:ilvl w:val="0"/>
          <w:numId w:val="10"/>
        </w:numPr>
        <w:tabs>
          <w:tab w:val="clear" w:pos="720"/>
          <w:tab w:val="left" w:pos="0" w:leader="none"/>
          <w:tab w:val="left" w:pos="360" w:leader="none"/>
        </w:tabs>
        <w:ind w:hanging="720" w:start="720" w:end="0"/>
        <w:rPr>
          <w:rFonts w:ascii="Arial" w:hAnsi="Arial" w:eastAsia="Arial" w:cs="Arial"/>
          <w:sz w:val="20"/>
          <w:szCs w:val="20"/>
        </w:rPr>
      </w:pPr>
      <w:r>
        <w:rPr>
          <w:rFonts w:eastAsia="Arial" w:cs="Arial" w:ascii="Arial" w:hAnsi="Arial"/>
          <w:sz w:val="20"/>
          <w:szCs w:val="20"/>
        </w:rPr>
        <w:t>Northern would like to continue to discuss opportunities of allowing Alliant to turn back FDD prior to contract expiration.</w:t>
      </w:r>
    </w:p>
    <w:p>
      <w:pPr>
        <w:pStyle w:val="BodyText"/>
        <w:keepNext w:val="true"/>
        <w:keepLines/>
        <w:numPr>
          <w:ilvl w:val="0"/>
          <w:numId w:val="10"/>
        </w:numPr>
        <w:tabs>
          <w:tab w:val="clear" w:pos="720"/>
          <w:tab w:val="left" w:pos="0" w:leader="none"/>
        </w:tabs>
        <w:ind w:hanging="360" w:start="720" w:end="0"/>
        <w:rPr>
          <w:rFonts w:ascii="Arial" w:hAnsi="Arial" w:eastAsia="Arial" w:cs="Arial"/>
          <w:sz w:val="20"/>
          <w:szCs w:val="20"/>
        </w:rPr>
      </w:pPr>
      <w:r>
        <w:rPr>
          <w:rFonts w:eastAsia="Arial" w:cs="Arial" w:ascii="Arial" w:hAnsi="Arial"/>
          <w:sz w:val="20"/>
          <w:szCs w:val="20"/>
        </w:rPr>
        <w:t>In response to Alliant’s request for storage allocations, attached is a list of the days during the months of December 1998, November 1999, and November 2000 when storage was allocated.</w:t>
      </w:r>
    </w:p>
    <w:p>
      <w:pPr>
        <w:pStyle w:val="BodyText"/>
        <w:keepNext w:val="true"/>
        <w:keepLines/>
        <w:rPr>
          <w:rFonts w:ascii="Arial" w:hAnsi="Arial" w:eastAsia="Arial" w:cs="Arial"/>
          <w:sz w:val="20"/>
          <w:szCs w:val="20"/>
        </w:rPr>
      </w:pPr>
      <w:r>
        <w:rPr>
          <w:rFonts w:eastAsia="Arial" w:cs="Arial" w:ascii="Arial" w:hAnsi="Arial"/>
          <w:sz w:val="20"/>
          <w:szCs w:val="20"/>
        </w:rPr>
      </w:r>
    </w:p>
    <w:p>
      <w:pPr>
        <w:pStyle w:val="BodyText"/>
        <w:rPr>
          <w:rFonts w:ascii="Arial" w:hAnsi="Arial" w:eastAsia="Arial" w:cs="Arial"/>
          <w:b/>
          <w:bCs/>
          <w:sz w:val="20"/>
          <w:szCs w:val="20"/>
          <w:u w:val="single"/>
        </w:rPr>
      </w:pPr>
      <w:r>
        <w:rPr>
          <w:rFonts w:eastAsia="Arial" w:cs="Arial" w:ascii="Arial" w:hAnsi="Arial"/>
          <w:b/>
          <w:bCs/>
          <w:sz w:val="20"/>
          <w:szCs w:val="20"/>
          <w:u w:val="single"/>
        </w:rPr>
        <w:t>Scheduling Issues</w:t>
      </w:r>
    </w:p>
    <w:p>
      <w:pPr>
        <w:pStyle w:val="BodyText"/>
        <w:numPr>
          <w:ilvl w:val="0"/>
          <w:numId w:val="11"/>
        </w:numPr>
        <w:tabs>
          <w:tab w:val="clear" w:pos="720"/>
          <w:tab w:val="left" w:pos="0" w:leader="none"/>
        </w:tabs>
        <w:ind w:hanging="720" w:start="720" w:end="0"/>
        <w:rPr>
          <w:rFonts w:ascii="Arial" w:hAnsi="Arial" w:eastAsia="Arial" w:cs="Arial"/>
          <w:sz w:val="20"/>
          <w:szCs w:val="20"/>
          <w:u w:val="single"/>
        </w:rPr>
      </w:pPr>
      <w:r>
        <w:rPr>
          <w:rFonts w:eastAsia="Arial" w:cs="Arial" w:ascii="Arial" w:hAnsi="Arial"/>
          <w:sz w:val="20"/>
          <w:szCs w:val="20"/>
        </w:rPr>
        <w:t>Alliant requested Northern be more flexible and, if requested, consider from time to time to make retroactive scheduling changes.</w:t>
      </w:r>
    </w:p>
    <w:p>
      <w:pPr>
        <w:pStyle w:val="BodyText"/>
        <w:numPr>
          <w:ilvl w:val="0"/>
          <w:numId w:val="12"/>
        </w:numPr>
        <w:tabs>
          <w:tab w:val="clear" w:pos="720"/>
          <w:tab w:val="left" w:pos="0" w:leader="none"/>
          <w:tab w:val="left" w:pos="360" w:leader="none"/>
        </w:tabs>
        <w:ind w:hanging="720" w:start="1080" w:end="0"/>
        <w:rPr>
          <w:rFonts w:ascii="Arial" w:hAnsi="Arial" w:eastAsia="Arial" w:cs="Arial"/>
          <w:sz w:val="20"/>
          <w:szCs w:val="20"/>
          <w:u w:val="single"/>
        </w:rPr>
      </w:pPr>
      <w:r>
        <w:rPr>
          <w:rFonts w:eastAsia="Arial" w:cs="Arial" w:ascii="Arial" w:hAnsi="Arial"/>
          <w:sz w:val="20"/>
          <w:szCs w:val="20"/>
        </w:rPr>
        <w:t>Retroactive scheduling gas leads to undermining of the integrity of the entire scheduling process.  Northern is willing to work with Alliant if there are specific scheduling errors or data entry problems that need to be corrected.  Alliant would need to contact Northern and all parties would need to agree that a correction is appropriate in order to ensure no harm is brought upon other shippers or operators on the system.  At any time a shipper requests a review of scheduled quantities, Northern will review the situation on a non-discriminatory, case-by-case basis to determine if there have been any scheduling errors that need to be corrected.  If a situation arises, Alliant should call Lynn Blair at 713-853-7637.</w:t>
      </w:r>
    </w:p>
    <w:p>
      <w:pPr>
        <w:pStyle w:val="BodyText"/>
        <w:numPr>
          <w:ilvl w:val="0"/>
          <w:numId w:val="13"/>
        </w:numPr>
        <w:tabs>
          <w:tab w:val="clear" w:pos="720"/>
          <w:tab w:val="left" w:pos="0" w:leader="none"/>
          <w:tab w:val="left" w:pos="360" w:leader="none"/>
        </w:tabs>
        <w:ind w:hanging="720" w:start="720" w:end="0"/>
        <w:rPr>
          <w:rFonts w:ascii="Arial" w:hAnsi="Arial" w:eastAsia="Arial" w:cs="Arial"/>
          <w:sz w:val="20"/>
          <w:szCs w:val="20"/>
          <w:u w:val="single"/>
        </w:rPr>
      </w:pPr>
      <w:r>
        <w:rPr>
          <w:rFonts w:eastAsia="Arial" w:cs="Arial" w:ascii="Arial" w:hAnsi="Arial"/>
          <w:sz w:val="20"/>
          <w:szCs w:val="20"/>
        </w:rPr>
        <w:t xml:space="preserve">Zone Allocations – Northern was asked to clarify how allocations occurred on a warm day.  </w:t>
      </w:r>
    </w:p>
    <w:p>
      <w:pPr>
        <w:pStyle w:val="BodyText"/>
        <w:numPr>
          <w:ilvl w:val="0"/>
          <w:numId w:val="14"/>
        </w:numPr>
        <w:tabs>
          <w:tab w:val="clear" w:pos="720"/>
          <w:tab w:val="left" w:pos="0" w:leader="none"/>
          <w:tab w:val="left" w:pos="360" w:leader="none"/>
        </w:tabs>
        <w:ind w:hanging="720" w:start="1080" w:end="0"/>
        <w:rPr>
          <w:rFonts w:ascii="Arial" w:hAnsi="Arial" w:eastAsia="Arial" w:cs="Arial"/>
          <w:sz w:val="20"/>
          <w:szCs w:val="20"/>
          <w:u w:val="single"/>
        </w:rPr>
      </w:pPr>
      <w:r>
        <w:rPr>
          <w:rFonts w:eastAsia="Arial" w:cs="Arial" w:ascii="Arial" w:hAnsi="Arial"/>
          <w:sz w:val="20"/>
          <w:szCs w:val="20"/>
        </w:rPr>
        <w:t>Temperature is not the only factor that determines if Northern allocates a zone.  Other issues that impact allocation decisions include daily changing load swings and pipeline pressures.   System conditions can be accessed through Northern’s Hottap system in the Critical Notices section of the Informational Postings, by calling Northern’s Hotline at 713-853-3555, or by direct contact with Gas Control at 713-853-7100, Gas Logistics, or Marketing.  One method to help minimize zone allocations would be to nominate to a specific delivery point versus the zone.</w:t>
      </w:r>
    </w:p>
    <w:p>
      <w:pPr>
        <w:pStyle w:val="BodyText"/>
        <w:numPr>
          <w:ilvl w:val="0"/>
          <w:numId w:val="14"/>
        </w:numPr>
        <w:tabs>
          <w:tab w:val="clear" w:pos="720"/>
          <w:tab w:val="left" w:pos="0" w:leader="none"/>
          <w:tab w:val="left" w:pos="360" w:leader="none"/>
        </w:tabs>
        <w:ind w:hanging="360" w:start="1080" w:end="0"/>
        <w:rPr>
          <w:rFonts w:ascii="Arial" w:hAnsi="Arial" w:eastAsia="Arial" w:cs="Arial"/>
          <w:sz w:val="20"/>
          <w:szCs w:val="20"/>
          <w:u w:val="single"/>
        </w:rPr>
      </w:pPr>
      <w:r>
        <w:rPr>
          <w:rFonts w:eastAsia="Arial" w:cs="Arial" w:ascii="Arial" w:hAnsi="Arial"/>
          <w:sz w:val="20"/>
          <w:szCs w:val="20"/>
        </w:rPr>
        <w:t>If Alliant feels their nomination or scheduling questions are not getting addressed, Alliant can call Lynn Blair, Director, ETS Gas Logistics at 713-853-7637 and/or Shelley Corman, Vice President, ETS Gas Logistics at 713-853-7083.</w:t>
      </w:r>
    </w:p>
    <w:p>
      <w:pPr>
        <w:pStyle w:val="BodyText"/>
        <w:tabs>
          <w:tab w:val="clear" w:pos="720"/>
          <w:tab w:val="left" w:pos="360" w:leader="none"/>
        </w:tabs>
        <w:ind w:start="360" w:end="0"/>
        <w:rPr>
          <w:rFonts w:ascii="Arial" w:hAnsi="Arial" w:eastAsia="Arial" w:cs="Arial"/>
          <w:sz w:val="20"/>
          <w:szCs w:val="20"/>
          <w:u w:val="single"/>
        </w:rPr>
      </w:pPr>
      <w:r>
        <w:rPr>
          <w:rFonts w:eastAsia="Arial" w:cs="Arial" w:ascii="Arial" w:hAnsi="Arial"/>
          <w:sz w:val="20"/>
          <w:szCs w:val="20"/>
          <w:u w:val="single"/>
        </w:rPr>
      </w:r>
    </w:p>
    <w:p>
      <w:pPr>
        <w:pStyle w:val="BodyText"/>
        <w:tabs>
          <w:tab w:val="clear" w:pos="720"/>
          <w:tab w:val="left" w:pos="360" w:leader="none"/>
        </w:tabs>
        <w:ind w:start="360" w:end="0"/>
        <w:rPr>
          <w:rFonts w:ascii="Arial" w:hAnsi="Arial" w:eastAsia="Arial" w:cs="Arial"/>
          <w:sz w:val="20"/>
          <w:szCs w:val="20"/>
          <w:u w:val="single"/>
        </w:rPr>
      </w:pPr>
      <w:r>
        <w:rPr>
          <w:rFonts w:eastAsia="Arial" w:cs="Arial" w:ascii="Arial" w:hAnsi="Arial"/>
          <w:sz w:val="20"/>
          <w:szCs w:val="20"/>
          <w:u w:val="single"/>
        </w:rPr>
      </w:r>
    </w:p>
    <w:p>
      <w:pPr>
        <w:pStyle w:val="BodyText"/>
        <w:tabs>
          <w:tab w:val="clear" w:pos="720"/>
          <w:tab w:val="left" w:pos="360" w:leader="none"/>
        </w:tabs>
        <w:rPr>
          <w:rFonts w:ascii="Arial" w:hAnsi="Arial" w:eastAsia="Arial" w:cs="Arial"/>
          <w:sz w:val="20"/>
          <w:szCs w:val="20"/>
        </w:rPr>
      </w:pPr>
      <w:r>
        <w:rPr>
          <w:rFonts w:eastAsia="Arial" w:cs="Arial" w:ascii="Arial" w:hAnsi="Arial"/>
          <w:sz w:val="20"/>
          <w:szCs w:val="20"/>
        </w:rPr>
        <w:t>Ms. Kelly Schneider</w:t>
      </w:r>
    </w:p>
    <w:p>
      <w:pPr>
        <w:pStyle w:val="BodyText"/>
        <w:tabs>
          <w:tab w:val="clear" w:pos="720"/>
          <w:tab w:val="left" w:pos="360" w:leader="none"/>
        </w:tabs>
        <w:rPr>
          <w:rFonts w:ascii="Arial" w:hAnsi="Arial" w:eastAsia="Arial" w:cs="Arial"/>
          <w:sz w:val="20"/>
          <w:szCs w:val="20"/>
        </w:rPr>
      </w:pPr>
      <w:r>
        <w:rPr>
          <w:rFonts w:eastAsia="Arial" w:cs="Arial" w:ascii="Arial" w:hAnsi="Arial"/>
          <w:sz w:val="20"/>
          <w:szCs w:val="20"/>
        </w:rPr>
        <w:t>January 30, 2002</w:t>
      </w:r>
    </w:p>
    <w:p>
      <w:pPr>
        <w:pStyle w:val="BodyText"/>
        <w:tabs>
          <w:tab w:val="clear" w:pos="720"/>
          <w:tab w:val="left" w:pos="360" w:leader="none"/>
        </w:tabs>
        <w:rPr>
          <w:rFonts w:ascii="Arial" w:hAnsi="Arial" w:eastAsia="Arial" w:cs="Arial"/>
          <w:sz w:val="20"/>
          <w:szCs w:val="20"/>
        </w:rPr>
      </w:pPr>
      <w:r>
        <w:rPr>
          <w:rFonts w:eastAsia="Arial" w:cs="Arial" w:ascii="Arial" w:hAnsi="Arial"/>
          <w:sz w:val="20"/>
          <w:szCs w:val="20"/>
        </w:rPr>
        <w:t>Page 3</w:t>
      </w:r>
    </w:p>
    <w:p>
      <w:pPr>
        <w:pStyle w:val="BodyText"/>
        <w:tabs>
          <w:tab w:val="clear" w:pos="720"/>
          <w:tab w:val="left" w:pos="360" w:leader="none"/>
        </w:tabs>
        <w:rPr>
          <w:rFonts w:ascii="Arial" w:hAnsi="Arial" w:eastAsia="Arial" w:cs="Arial"/>
          <w:sz w:val="20"/>
          <w:szCs w:val="20"/>
        </w:rPr>
      </w:pPr>
      <w:r>
        <w:rPr>
          <w:rFonts w:eastAsia="Arial" w:cs="Arial" w:ascii="Arial" w:hAnsi="Arial"/>
          <w:sz w:val="20"/>
          <w:szCs w:val="20"/>
        </w:rPr>
      </w:r>
    </w:p>
    <w:p>
      <w:pPr>
        <w:pStyle w:val="BodyText"/>
        <w:tabs>
          <w:tab w:val="clear" w:pos="720"/>
          <w:tab w:val="left" w:pos="360" w:leader="none"/>
        </w:tabs>
        <w:rPr>
          <w:rFonts w:ascii="Arial" w:hAnsi="Arial" w:eastAsia="Arial" w:cs="Arial"/>
          <w:sz w:val="20"/>
          <w:szCs w:val="20"/>
        </w:rPr>
      </w:pPr>
      <w:r>
        <w:rPr>
          <w:rFonts w:eastAsia="Arial" w:cs="Arial" w:ascii="Arial" w:hAnsi="Arial"/>
          <w:sz w:val="20"/>
          <w:szCs w:val="20"/>
        </w:rPr>
      </w:r>
    </w:p>
    <w:p>
      <w:pPr>
        <w:pStyle w:val="BodyText"/>
        <w:tabs>
          <w:tab w:val="clear" w:pos="720"/>
          <w:tab w:val="left" w:pos="360" w:leader="none"/>
        </w:tabs>
        <w:rPr>
          <w:rFonts w:ascii="Arial" w:hAnsi="Arial" w:eastAsia="Arial" w:cs="Arial"/>
          <w:sz w:val="20"/>
          <w:szCs w:val="20"/>
        </w:rPr>
      </w:pPr>
      <w:r>
        <w:rPr>
          <w:rFonts w:eastAsia="Arial" w:cs="Arial" w:ascii="Arial" w:hAnsi="Arial"/>
          <w:sz w:val="20"/>
          <w:szCs w:val="20"/>
        </w:rPr>
      </w:r>
    </w:p>
    <w:p>
      <w:pPr>
        <w:pStyle w:val="BodyText"/>
        <w:tabs>
          <w:tab w:val="clear" w:pos="720"/>
          <w:tab w:val="left" w:pos="360" w:leader="none"/>
        </w:tabs>
        <w:rPr>
          <w:rFonts w:ascii="Arial" w:hAnsi="Arial" w:eastAsia="Arial" w:cs="Arial"/>
          <w:b/>
          <w:bCs/>
          <w:sz w:val="20"/>
          <w:szCs w:val="20"/>
          <w:u w:val="single"/>
        </w:rPr>
      </w:pPr>
      <w:r>
        <w:rPr>
          <w:rFonts w:eastAsia="Arial" w:cs="Arial" w:ascii="Arial" w:hAnsi="Arial"/>
          <w:b/>
          <w:bCs/>
          <w:sz w:val="20"/>
          <w:szCs w:val="20"/>
          <w:u w:val="single"/>
        </w:rPr>
        <w:t>Administrative</w:t>
      </w:r>
    </w:p>
    <w:p>
      <w:pPr>
        <w:pStyle w:val="BodyText"/>
        <w:numPr>
          <w:ilvl w:val="0"/>
          <w:numId w:val="15"/>
        </w:numPr>
        <w:tabs>
          <w:tab w:val="clear" w:pos="720"/>
          <w:tab w:val="left" w:pos="0" w:leader="none"/>
          <w:tab w:val="left" w:pos="360" w:leader="none"/>
        </w:tabs>
        <w:ind w:hanging="720" w:start="720" w:end="0"/>
        <w:rPr>
          <w:rFonts w:ascii="Arial" w:hAnsi="Arial" w:eastAsia="Arial" w:cs="Arial"/>
          <w:sz w:val="20"/>
          <w:szCs w:val="20"/>
        </w:rPr>
      </w:pPr>
      <w:r>
        <w:rPr>
          <w:rFonts w:eastAsia="Arial" w:cs="Arial" w:ascii="Arial" w:hAnsi="Arial"/>
          <w:sz w:val="20"/>
          <w:szCs w:val="20"/>
        </w:rPr>
        <w:t xml:space="preserve">Effective February 1, 2002, Alliant’s accounts will be transitioned from Jean Blair and Kathy Washington to Karen Clapper (713-853-6735).  </w:t>
      </w:r>
    </w:p>
    <w:p>
      <w:pPr>
        <w:pStyle w:val="BodyText"/>
        <w:numPr>
          <w:ilvl w:val="0"/>
          <w:numId w:val="15"/>
        </w:numPr>
        <w:tabs>
          <w:tab w:val="clear" w:pos="720"/>
          <w:tab w:val="left" w:pos="0" w:leader="none"/>
        </w:tabs>
        <w:ind w:hanging="720" w:start="720" w:end="0"/>
        <w:rPr>
          <w:rFonts w:ascii="Arial" w:hAnsi="Arial" w:eastAsia="Arial" w:cs="Arial"/>
          <w:sz w:val="20"/>
          <w:szCs w:val="20"/>
        </w:rPr>
      </w:pPr>
      <w:r>
        <w:rPr>
          <w:rFonts w:eastAsia="Arial" w:cs="Arial" w:ascii="Arial" w:hAnsi="Arial"/>
          <w:sz w:val="20"/>
          <w:szCs w:val="20"/>
        </w:rPr>
        <w:t>Alliant asked if a coding legend could be placed at bottom of Northern’s electronic invoices, as this would make it easier for Alliant to know what charge types were being applied.  GISB codes are posted on a separate document in Hottap where Alliant can download and utilize for reference.</w:t>
      </w:r>
    </w:p>
    <w:p>
      <w:pPr>
        <w:pStyle w:val="BodyText"/>
        <w:numPr>
          <w:ilvl w:val="0"/>
          <w:numId w:val="15"/>
        </w:numPr>
        <w:tabs>
          <w:tab w:val="clear" w:pos="720"/>
          <w:tab w:val="left" w:pos="0" w:leader="none"/>
        </w:tabs>
        <w:ind w:hanging="360" w:start="720" w:end="0"/>
        <w:rPr>
          <w:rFonts w:ascii="Arial" w:hAnsi="Arial" w:eastAsia="Arial" w:cs="Arial"/>
          <w:sz w:val="20"/>
          <w:szCs w:val="20"/>
        </w:rPr>
      </w:pPr>
      <w:r>
        <w:rPr>
          <w:rFonts w:eastAsia="Arial" w:cs="Arial" w:ascii="Arial" w:hAnsi="Arial"/>
          <w:sz w:val="20"/>
          <w:szCs w:val="20"/>
        </w:rPr>
        <w:t>Postings - Once a notice is posted on Northern’s Hottap system, Alliant doesn’t see changes after allocations occur during the Gas Day.</w:t>
      </w:r>
    </w:p>
    <w:p>
      <w:pPr>
        <w:pStyle w:val="BodyText"/>
        <w:numPr>
          <w:ilvl w:val="0"/>
          <w:numId w:val="16"/>
        </w:numPr>
        <w:tabs>
          <w:tab w:val="clear" w:pos="720"/>
          <w:tab w:val="left" w:pos="0" w:leader="none"/>
        </w:tabs>
        <w:ind w:hanging="720" w:start="1080" w:end="0"/>
        <w:rPr>
          <w:rFonts w:ascii="Arial" w:hAnsi="Arial" w:eastAsia="Arial" w:cs="Arial"/>
          <w:sz w:val="20"/>
          <w:szCs w:val="20"/>
        </w:rPr>
      </w:pPr>
      <w:r>
        <w:rPr>
          <w:rFonts w:eastAsia="Arial" w:cs="Arial" w:ascii="Arial" w:hAnsi="Arial"/>
          <w:sz w:val="20"/>
          <w:szCs w:val="20"/>
        </w:rPr>
        <w:t>Alliant can monitor the allocation completion by viewing the Batch Scheduled Status Screen within Northern’s Transportation Management System.</w:t>
      </w:r>
      <w:r>
        <w:rPr>
          <w:rFonts w:eastAsia="Arial" w:cs="Arial" w:ascii="Arial" w:hAnsi="Arial"/>
          <w:color w:val="FF0000"/>
          <w:sz w:val="20"/>
          <w:szCs w:val="20"/>
        </w:rPr>
        <w:t xml:space="preserve">  </w:t>
      </w:r>
    </w:p>
    <w:p>
      <w:pPr>
        <w:pStyle w:val="BodyText"/>
        <w:numPr>
          <w:ilvl w:val="0"/>
          <w:numId w:val="16"/>
        </w:numPr>
        <w:tabs>
          <w:tab w:val="clear" w:pos="720"/>
          <w:tab w:val="left" w:pos="0" w:leader="none"/>
        </w:tabs>
        <w:ind w:hanging="360" w:start="1080" w:end="0"/>
        <w:rPr>
          <w:rFonts w:ascii="Arial" w:hAnsi="Arial" w:eastAsia="Arial" w:cs="Arial"/>
          <w:sz w:val="20"/>
          <w:szCs w:val="20"/>
        </w:rPr>
      </w:pPr>
      <w:r>
        <w:rPr>
          <w:rFonts w:eastAsia="Arial" w:cs="Arial" w:ascii="Arial" w:hAnsi="Arial"/>
          <w:sz w:val="20"/>
          <w:szCs w:val="20"/>
        </w:rPr>
        <w:t>Alliant has inquired why Northern’s FDD Overrun Posting never changes.  Northern’s storage is deemed always available but is subject to our allocation procedures.</w:t>
      </w:r>
    </w:p>
    <w:p>
      <w:pPr>
        <w:pStyle w:val="BodyText"/>
        <w:tabs>
          <w:tab w:val="clear" w:pos="720"/>
          <w:tab w:val="left" w:pos="360" w:leader="none"/>
        </w:tabs>
        <w:rPr>
          <w:rFonts w:ascii="Arial" w:hAnsi="Arial" w:eastAsia="Arial" w:cs="Arial"/>
          <w:sz w:val="20"/>
          <w:szCs w:val="20"/>
        </w:rPr>
      </w:pPr>
      <w:r>
        <w:rPr>
          <w:rFonts w:eastAsia="Arial" w:cs="Arial" w:ascii="Arial" w:hAnsi="Arial"/>
          <w:sz w:val="20"/>
          <w:szCs w:val="20"/>
        </w:rPr>
      </w:r>
    </w:p>
    <w:p>
      <w:pPr>
        <w:pStyle w:val="BodyText"/>
        <w:tabs>
          <w:tab w:val="clear" w:pos="720"/>
          <w:tab w:val="left" w:pos="360" w:leader="none"/>
        </w:tabs>
        <w:rPr>
          <w:rFonts w:ascii="Arial" w:hAnsi="Arial" w:eastAsia="Arial" w:cs="Arial"/>
          <w:sz w:val="20"/>
          <w:szCs w:val="20"/>
        </w:rPr>
      </w:pPr>
      <w:r>
        <w:rPr>
          <w:rFonts w:eastAsia="Arial" w:cs="Arial" w:ascii="Arial" w:hAnsi="Arial"/>
          <w:sz w:val="20"/>
          <w:szCs w:val="20"/>
        </w:rPr>
        <w:t>Our next meeting is scheduled for February 11, 2002.  Lynn Blair, Director of ETS’s Gas Logistics will also attend.  Prior to this meeting, please provide me with any additional issues Alliant would like to discuss.</w:t>
      </w:r>
    </w:p>
    <w:p>
      <w:pPr>
        <w:pStyle w:val="Normal"/>
        <w:rPr>
          <w:rFonts w:ascii="Arial" w:hAnsi="Arial" w:eastAsia="Arial" w:cs="Arial"/>
          <w:sz w:val="20"/>
          <w:szCs w:val="20"/>
        </w:rPr>
      </w:pPr>
      <w:r>
        <w:rPr>
          <w:rFonts w:eastAsia="Arial" w:cs="Arial" w:ascii="Arial" w:hAnsi="Arial"/>
          <w:sz w:val="20"/>
          <w:szCs w:val="20"/>
        </w:rPr>
      </w:r>
    </w:p>
    <w:p>
      <w:pPr>
        <w:pStyle w:val="Normal"/>
        <w:rPr>
          <w:rFonts w:ascii="Arial" w:hAnsi="Arial" w:eastAsia="Arial" w:cs="Arial"/>
        </w:rPr>
      </w:pPr>
      <w:r>
        <w:rPr>
          <w:rFonts w:eastAsia="Arial" w:cs="Arial" w:ascii="Arial" w:hAnsi="Arial"/>
        </w:rPr>
        <w:t>Sincerely,</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Chris Sebesta</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Attach.</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 xml:space="preserve">cc: </w:t>
        <w:tab/>
        <w:t>Bill Harvey</w:t>
      </w:r>
    </w:p>
    <w:p>
      <w:pPr>
        <w:pStyle w:val="Normal"/>
        <w:ind w:firstLine="720" w:end="0"/>
        <w:rPr>
          <w:rFonts w:ascii="Arial" w:hAnsi="Arial" w:eastAsia="Arial" w:cs="Arial"/>
        </w:rPr>
      </w:pPr>
      <w:r>
        <w:rPr>
          <w:rFonts w:eastAsia="Arial" w:cs="Arial" w:ascii="Arial" w:hAnsi="Arial"/>
        </w:rPr>
        <w:t>Jeff Hicken</w:t>
      </w:r>
    </w:p>
    <w:p>
      <w:pPr>
        <w:pStyle w:val="Normal"/>
        <w:ind w:firstLine="720" w:end="0"/>
        <w:rPr>
          <w:rFonts w:ascii="Arial" w:hAnsi="Arial" w:eastAsia="Arial" w:cs="Arial"/>
        </w:rPr>
      </w:pPr>
      <w:r>
        <w:rPr>
          <w:rFonts w:eastAsia="Arial" w:cs="Arial" w:ascii="Arial" w:hAnsi="Arial"/>
        </w:rPr>
        <w:t>Bill Zorr</w:t>
      </w:r>
    </w:p>
    <w:p>
      <w:pPr>
        <w:pStyle w:val="Normal"/>
        <w:ind w:firstLine="720" w:end="0"/>
        <w:rPr>
          <w:rFonts w:ascii="Arial" w:hAnsi="Arial" w:eastAsia="Arial" w:cs="Arial"/>
        </w:rPr>
      </w:pPr>
      <w:r>
        <w:rPr>
          <w:rFonts w:eastAsia="Arial" w:cs="Arial" w:ascii="Arial" w:hAnsi="Arial"/>
        </w:rPr>
        <w:t>Lynn Blair</w:t>
      </w:r>
    </w:p>
    <w:p>
      <w:pPr>
        <w:pStyle w:val="Normal"/>
        <w:ind w:firstLine="720" w:end="0"/>
        <w:rPr>
          <w:rFonts w:ascii="Arial" w:hAnsi="Arial" w:eastAsia="Arial" w:cs="Arial"/>
        </w:rPr>
      </w:pPr>
      <w:r>
        <w:rPr>
          <w:rFonts w:eastAsia="Arial" w:cs="Arial" w:ascii="Arial" w:hAnsi="Arial"/>
        </w:rPr>
        <w:t>Shelley Corman</w:t>
      </w:r>
    </w:p>
    <w:p>
      <w:pPr>
        <w:pStyle w:val="Normal"/>
        <w:ind w:firstLine="720" w:end="0"/>
        <w:rPr>
          <w:rFonts w:ascii="Arial" w:hAnsi="Arial" w:eastAsia="Arial" w:cs="Arial"/>
        </w:rPr>
      </w:pPr>
      <w:r>
        <w:rPr>
          <w:rFonts w:eastAsia="Arial" w:cs="Arial" w:ascii="Arial" w:hAnsi="Arial"/>
        </w:rPr>
        <w:t>Bill Fowler</w:t>
      </w:r>
    </w:p>
    <w:p>
      <w:pPr>
        <w:pStyle w:val="Normal"/>
        <w:rPr>
          <w:rFonts w:ascii="Arial" w:hAnsi="Arial" w:eastAsia="Arial" w:cs="Arial"/>
        </w:rPr>
      </w:pPr>
      <w:r>
        <w:rPr>
          <w:rFonts w:eastAsia="Arial" w:cs="Arial" w:ascii="Arial" w:hAnsi="Arial"/>
        </w:rPr>
        <w:tab/>
        <w:t>Dave Neubauer</w:t>
      </w:r>
    </w:p>
    <w:p>
      <w:pPr>
        <w:pStyle w:val="Normal"/>
        <w:rPr>
          <w:rFonts w:ascii="Arial" w:hAnsi="Arial" w:eastAsia="Arial" w:cs="Arial"/>
        </w:rPr>
      </w:pPr>
      <w:r>
        <w:rPr>
          <w:rFonts w:eastAsia="Arial" w:cs="Arial" w:ascii="Arial" w:hAnsi="Arial"/>
        </w:rPr>
        <w:tab/>
        <w:t>Frank Semin</w:t>
      </w:r>
    </w:p>
    <w:p>
      <w:pPr>
        <w:pStyle w:val="Normal"/>
        <w:rPr>
          <w:rFonts w:ascii="Arial" w:hAnsi="Arial" w:eastAsia="Arial" w:cs="Arial"/>
        </w:rPr>
      </w:pPr>
      <w:r>
        <w:rPr>
          <w:rFonts w:eastAsia="Arial" w:cs="Arial" w:ascii="Arial" w:hAnsi="Arial"/>
        </w:rPr>
      </w:r>
    </w:p>
    <w:p>
      <w:pPr>
        <w:pStyle w:val="Normal"/>
        <w:ind w:firstLine="720" w:end="0"/>
        <w:rPr>
          <w:sz w:val="24"/>
          <w:szCs w:val="24"/>
        </w:rPr>
      </w:pPr>
      <w:r>
        <w:rPr>
          <w:sz w:val="24"/>
          <w:szCs w:val="24"/>
        </w:rPr>
        <w:t xml:space="preserve"> </w:t>
      </w:r>
    </w:p>
    <w:p>
      <w:pPr>
        <w:pStyle w:val="Normal"/>
        <w:rPr>
          <w:sz w:val="24"/>
          <w:szCs w:val="24"/>
        </w:rPr>
      </w:pPr>
      <w:r>
        <w:rPr>
          <w:sz w:val="24"/>
          <w:szCs w:val="24"/>
        </w:rPr>
      </w:r>
      <w:r>
        <w:br w:type="page"/>
      </w:r>
    </w:p>
    <w:p>
      <w:pPr>
        <w:pStyle w:val="Normal"/>
        <w:jc w:val="center"/>
        <w:rPr>
          <w:rFonts w:ascii="Arial" w:hAnsi="Arial" w:eastAsia="Arial" w:cs="Arial"/>
          <w:b/>
          <w:bCs/>
          <w:sz w:val="24"/>
          <w:szCs w:val="24"/>
        </w:rPr>
      </w:pPr>
      <w:r>
        <w:rPr>
          <w:rFonts w:eastAsia="Arial" w:cs="Arial" w:ascii="Arial" w:hAnsi="Arial"/>
          <w:b/>
          <w:bCs/>
          <w:sz w:val="24"/>
          <w:szCs w:val="24"/>
        </w:rPr>
        <w:t>STORAGE ALLOCATIONS</w:t>
      </w:r>
    </w:p>
    <w:p>
      <w:pPr>
        <w:pStyle w:val="Normal"/>
        <w:jc w:val="center"/>
        <w:rPr>
          <w:rFonts w:ascii="Arial" w:hAnsi="Arial" w:eastAsia="Arial" w:cs="Arial"/>
          <w:b/>
          <w:bCs/>
          <w:sz w:val="24"/>
          <w:szCs w:val="24"/>
        </w:rPr>
      </w:pPr>
      <w:r>
        <w:rPr>
          <w:rFonts w:eastAsia="Arial" w:cs="Arial" w:ascii="Arial" w:hAnsi="Arial"/>
          <w:b/>
          <w:bCs/>
          <w:sz w:val="24"/>
          <w:szCs w:val="24"/>
        </w:rPr>
      </w:r>
    </w:p>
    <w:p>
      <w:pPr>
        <w:pStyle w:val="Normal"/>
        <w:jc w:val="center"/>
        <w:rPr>
          <w:rFonts w:ascii="Arial" w:hAnsi="Arial" w:eastAsia="Arial" w:cs="Arial"/>
          <w:b/>
          <w:bCs/>
          <w:sz w:val="24"/>
          <w:szCs w:val="24"/>
        </w:rPr>
      </w:pPr>
      <w:r>
        <w:rPr>
          <w:rFonts w:eastAsia="Arial" w:cs="Arial" w:ascii="Arial" w:hAnsi="Arial"/>
          <w:b/>
          <w:bCs/>
          <w:sz w:val="24"/>
          <w:szCs w:val="24"/>
        </w:rPr>
      </w:r>
    </w:p>
    <w:p>
      <w:pPr>
        <w:pStyle w:val="Heading1"/>
        <w:ind w:hanging="0" w:start="0"/>
        <w:rPr>
          <w:sz w:val="20"/>
          <w:szCs w:val="20"/>
        </w:rPr>
      </w:pPr>
      <w:r>
        <w:rPr>
          <w:sz w:val="20"/>
          <w:szCs w:val="20"/>
        </w:rPr>
        <w:t>December 1998</w:t>
      </w:r>
    </w:p>
    <w:p>
      <w:pPr>
        <w:pStyle w:val="Normal"/>
        <w:jc w:val="both"/>
        <w:rPr>
          <w:rFonts w:ascii="Arial" w:hAnsi="Arial" w:eastAsia="Arial" w:cs="Arial"/>
          <w:sz w:val="20"/>
          <w:szCs w:val="20"/>
          <w:u w:val="single"/>
        </w:rPr>
      </w:pPr>
      <w:r>
        <w:rPr>
          <w:rFonts w:eastAsia="Arial" w:cs="Arial" w:ascii="Arial" w:hAnsi="Arial"/>
          <w:sz w:val="20"/>
          <w:szCs w:val="20"/>
          <w:u w:val="single"/>
        </w:rPr>
      </w:r>
    </w:p>
    <w:p>
      <w:pPr>
        <w:pStyle w:val="Heading2"/>
        <w:ind w:hanging="0" w:start="0"/>
        <w:rPr>
          <w:sz w:val="20"/>
          <w:szCs w:val="20"/>
        </w:rPr>
      </w:pPr>
      <w:r>
        <w:rPr>
          <w:sz w:val="20"/>
          <w:szCs w:val="20"/>
        </w:rPr>
        <w:t>None</w:t>
      </w:r>
    </w:p>
    <w:p>
      <w:pPr>
        <w:pStyle w:val="Normal"/>
        <w:jc w:val="both"/>
        <w:rPr>
          <w:rFonts w:ascii="Arial" w:hAnsi="Arial" w:eastAsia="Arial" w:cs="Arial"/>
          <w:sz w:val="20"/>
          <w:szCs w:val="20"/>
        </w:rPr>
      </w:pPr>
      <w:r>
        <w:rPr>
          <w:rFonts w:eastAsia="Arial" w:cs="Arial" w:ascii="Arial" w:hAnsi="Arial"/>
          <w:sz w:val="20"/>
          <w:szCs w:val="20"/>
        </w:rPr>
      </w:r>
    </w:p>
    <w:p>
      <w:pPr>
        <w:pStyle w:val="Heading1"/>
        <w:ind w:hanging="0" w:start="0"/>
        <w:rPr>
          <w:sz w:val="20"/>
          <w:szCs w:val="20"/>
        </w:rPr>
      </w:pPr>
      <w:r>
        <w:rPr>
          <w:sz w:val="20"/>
          <w:szCs w:val="20"/>
        </w:rPr>
        <w:t>November 1999</w:t>
      </w:r>
    </w:p>
    <w:p>
      <w:pPr>
        <w:pStyle w:val="Normal"/>
        <w:jc w:val="both"/>
        <w:rPr>
          <w:rFonts w:ascii="Arial" w:hAnsi="Arial" w:eastAsia="Arial" w:cs="Arial"/>
          <w:sz w:val="20"/>
          <w:szCs w:val="20"/>
          <w:u w:val="single"/>
        </w:rPr>
      </w:pPr>
      <w:r>
        <w:rPr>
          <w:rFonts w:eastAsia="Arial" w:cs="Arial" w:ascii="Arial" w:hAnsi="Arial"/>
          <w:sz w:val="20"/>
          <w:szCs w:val="20"/>
          <w:u w:val="single"/>
        </w:rPr>
      </w:r>
    </w:p>
    <w:p>
      <w:pPr>
        <w:pStyle w:val="Heading2"/>
        <w:ind w:hanging="0" w:start="0"/>
        <w:rPr>
          <w:sz w:val="20"/>
          <w:szCs w:val="20"/>
        </w:rPr>
      </w:pPr>
      <w:r>
        <w:rPr>
          <w:sz w:val="20"/>
          <w:szCs w:val="20"/>
        </w:rPr>
        <w:t>None</w:t>
      </w:r>
    </w:p>
    <w:p>
      <w:pPr>
        <w:pStyle w:val="Normal"/>
        <w:jc w:val="both"/>
        <w:rPr>
          <w:rFonts w:ascii="Arial" w:hAnsi="Arial" w:eastAsia="Arial" w:cs="Arial"/>
          <w:sz w:val="20"/>
          <w:szCs w:val="20"/>
        </w:rPr>
      </w:pPr>
      <w:r>
        <w:rPr>
          <w:rFonts w:eastAsia="Arial" w:cs="Arial" w:ascii="Arial" w:hAnsi="Arial"/>
          <w:sz w:val="20"/>
          <w:szCs w:val="20"/>
        </w:rPr>
      </w:r>
    </w:p>
    <w:p>
      <w:pPr>
        <w:pStyle w:val="Heading1"/>
        <w:ind w:hanging="0" w:start="0"/>
        <w:rPr>
          <w:sz w:val="20"/>
          <w:szCs w:val="20"/>
        </w:rPr>
      </w:pPr>
      <w:r>
        <w:rPr>
          <w:sz w:val="20"/>
          <w:szCs w:val="20"/>
        </w:rPr>
        <w:t>November 2000</w:t>
      </w:r>
    </w:p>
    <w:p>
      <w:pPr>
        <w:pStyle w:val="Normal"/>
        <w:jc w:val="both"/>
        <w:rPr>
          <w:rFonts w:ascii="Arial" w:hAnsi="Arial" w:eastAsia="Arial" w:cs="Arial"/>
          <w:sz w:val="20"/>
          <w:szCs w:val="20"/>
          <w:u w:val="single"/>
        </w:rPr>
      </w:pPr>
      <w:r>
        <w:rPr>
          <w:rFonts w:eastAsia="Arial" w:cs="Arial" w:ascii="Arial" w:hAnsi="Arial"/>
          <w:sz w:val="20"/>
          <w:szCs w:val="20"/>
          <w:u w:val="single"/>
        </w:rPr>
      </w:r>
    </w:p>
    <w:p>
      <w:pPr>
        <w:pStyle w:val="Normal"/>
        <w:jc w:val="both"/>
        <w:rPr>
          <w:rFonts w:ascii="Arial" w:hAnsi="Arial" w:eastAsia="Arial" w:cs="Arial"/>
        </w:rPr>
      </w:pPr>
      <w:r>
        <w:rPr>
          <w:rFonts w:eastAsia="Arial" w:cs="Arial" w:ascii="Arial" w:hAnsi="Arial"/>
        </w:rPr>
        <w:t>11/9/2000</w:t>
        <w:tab/>
        <w:t>(North Group) Market Area Storage Nominations Group</w:t>
      </w:r>
    </w:p>
    <w:p>
      <w:pPr>
        <w:pStyle w:val="Normal"/>
        <w:jc w:val="both"/>
        <w:rPr>
          <w:rFonts w:ascii="Arial" w:hAnsi="Arial" w:eastAsia="Arial" w:cs="Arial"/>
        </w:rPr>
      </w:pPr>
      <w:r>
        <w:rPr>
          <w:rFonts w:eastAsia="Arial" w:cs="Arial" w:ascii="Arial" w:hAnsi="Arial"/>
        </w:rPr>
        <w:t>11/9/2000</w:t>
        <w:tab/>
        <w:t>(South Group) System Storage Nominations Group</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11/13/2000</w:t>
        <w:tab/>
        <w:t xml:space="preserve">(North Group) Market Area Storage Nominations Group </w:t>
      </w:r>
    </w:p>
    <w:p>
      <w:pPr>
        <w:pStyle w:val="Normal"/>
        <w:jc w:val="both"/>
        <w:rPr>
          <w:rFonts w:ascii="Arial" w:hAnsi="Arial" w:eastAsia="Arial" w:cs="Arial"/>
        </w:rPr>
      </w:pPr>
      <w:r>
        <w:rPr>
          <w:rFonts w:eastAsia="Arial" w:cs="Arial" w:ascii="Arial" w:hAnsi="Arial"/>
        </w:rPr>
        <w:t>11/13/2000</w:t>
        <w:tab/>
        <w:t>(South Group) System Storage Nominations Group</w:t>
      </w:r>
    </w:p>
    <w:p>
      <w:pPr>
        <w:pStyle w:val="Normal"/>
        <w:jc w:val="both"/>
        <w:rPr>
          <w:rFonts w:ascii="Arial" w:hAnsi="Arial" w:eastAsia="Arial" w:cs="Arial"/>
        </w:rPr>
      </w:pPr>
      <w:r>
        <w:rPr>
          <w:rFonts w:eastAsia="Arial" w:cs="Arial" w:ascii="Arial" w:hAnsi="Arial"/>
        </w:rPr>
        <w:t xml:space="preserve"> </w:t>
      </w:r>
    </w:p>
    <w:p>
      <w:pPr>
        <w:pStyle w:val="Normal"/>
        <w:jc w:val="both"/>
        <w:rPr>
          <w:rFonts w:ascii="Arial" w:hAnsi="Arial" w:eastAsia="Arial" w:cs="Arial"/>
        </w:rPr>
      </w:pPr>
      <w:r>
        <w:rPr>
          <w:rFonts w:eastAsia="Arial" w:cs="Arial" w:ascii="Arial" w:hAnsi="Arial"/>
        </w:rPr>
        <w:t>11/14/2000</w:t>
        <w:tab/>
        <w:t>(South Group) System Storage Nominations Group</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11/15/2000</w:t>
        <w:tab/>
        <w:t>(South Group) System Storage Nominations Group</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11/16/2000</w:t>
        <w:tab/>
        <w:t>(South Group) System Storage Nominations Group</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11/17/2000</w:t>
        <w:tab/>
        <w:t>(South Group) System Storage Nominations Group</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11/20/2000</w:t>
        <w:tab/>
        <w:t>(North Group) Market Area Storage Nominations Group</w:t>
      </w:r>
    </w:p>
    <w:p>
      <w:pPr>
        <w:pStyle w:val="Normal"/>
        <w:jc w:val="both"/>
        <w:rPr>
          <w:rFonts w:ascii="Arial" w:hAnsi="Arial" w:eastAsia="Arial" w:cs="Arial"/>
        </w:rPr>
      </w:pPr>
      <w:r>
        <w:rPr>
          <w:rFonts w:eastAsia="Arial" w:cs="Arial" w:ascii="Arial" w:hAnsi="Arial"/>
        </w:rPr>
        <w:t>11/20/2000</w:t>
        <w:tab/>
        <w:t>(South Group) System Storage Nominations Group</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11/21/2000</w:t>
        <w:tab/>
        <w:t>(North Group) Market Area Storage Nominations Group</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11/22/2000</w:t>
        <w:tab/>
        <w:t>(North Group) Market Area Storage Nominations Group</w:t>
      </w:r>
    </w:p>
    <w:p>
      <w:pPr>
        <w:pStyle w:val="Normal"/>
        <w:jc w:val="both"/>
        <w:rPr>
          <w:rFonts w:ascii="Arial" w:hAnsi="Arial" w:eastAsia="Arial" w:cs="Arial"/>
        </w:rPr>
      </w:pPr>
      <w:r>
        <w:rPr>
          <w:rFonts w:eastAsia="Arial" w:cs="Arial" w:ascii="Arial" w:hAnsi="Arial"/>
        </w:rPr>
        <w:t>11/22/2000</w:t>
        <w:tab/>
        <w:t>(South Group) System Storage Nominations Group</w:t>
      </w:r>
    </w:p>
    <w:p>
      <w:pPr>
        <w:pStyle w:val="Normal"/>
        <w:jc w:val="both"/>
        <w:rPr>
          <w:rFonts w:ascii="Arial" w:hAnsi="Arial" w:eastAsia="Arial" w:cs="Arial"/>
        </w:rPr>
      </w:pPr>
      <w:r>
        <w:rPr>
          <w:rFonts w:eastAsia="Arial" w:cs="Arial" w:ascii="Arial" w:hAnsi="Arial"/>
        </w:rPr>
        <w:tab/>
      </w:r>
    </w:p>
    <w:p>
      <w:pPr>
        <w:pStyle w:val="Normal"/>
        <w:jc w:val="center"/>
        <w:rPr>
          <w:rFonts w:ascii="Arial" w:hAnsi="Arial" w:eastAsia="Arial" w:cs="Arial"/>
          <w:b/>
          <w:bCs/>
          <w:sz w:val="24"/>
          <w:szCs w:val="24"/>
        </w:rPr>
      </w:pPr>
      <w:r>
        <w:rPr>
          <w:rFonts w:eastAsia="Arial" w:cs="Arial" w:ascii="Arial" w:hAnsi="Arial"/>
          <w:b/>
          <w:bCs/>
          <w:sz w:val="24"/>
          <w:szCs w:val="24"/>
        </w:rPr>
      </w:r>
    </w:p>
    <w:p>
      <w:pPr>
        <w:pStyle w:val="Normal"/>
        <w:jc w:val="center"/>
        <w:rPr>
          <w:rFonts w:ascii="Arial" w:hAnsi="Arial" w:eastAsia="Arial" w:cs="Arial"/>
          <w:b/>
          <w:bCs/>
          <w:sz w:val="24"/>
          <w:szCs w:val="24"/>
        </w:rPr>
      </w:pPr>
      <w:r>
        <w:rPr>
          <w:rFonts w:eastAsia="Arial" w:cs="Arial" w:ascii="Arial" w:hAnsi="Arial"/>
          <w:b/>
          <w:bCs/>
          <w:sz w:val="24"/>
          <w:szCs w:val="24"/>
        </w:rPr>
      </w:r>
    </w:p>
    <w:p>
      <w:pPr>
        <w:pStyle w:val="Normal"/>
        <w:rPr>
          <w:b/>
          <w:bCs/>
          <w:sz w:val="24"/>
          <w:szCs w:val="24"/>
        </w:rPr>
      </w:pPr>
      <w:r>
        <w:rPr>
          <w:b/>
          <w:bCs/>
          <w:sz w:val="24"/>
          <w:szCs w:val="24"/>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Liberation Sans">
    <w:altName w:val="Arial"/>
    <w:charset w:val="01" w:characterSet="utf-8"/>
    <w:family w:val="swiss"/>
    <w:pitch w:val="variable"/>
  </w:font>
  <w:font w:name="Century Gothic">
    <w:charset w:val="01"/>
    <w:family w:val="swiss"/>
    <w:pitch w:val="variable"/>
  </w:font>
  <w:font w:name="Symbol">
    <w:charset w:val="0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2"/>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rFonts w:ascii="Arial" w:hAnsi="Arial" w:eastAsia="Arial" w:cs="Arial"/>
      <w:sz w:val="24"/>
      <w:szCs w:val="24"/>
      <w:u w:val="single"/>
    </w:rPr>
  </w:style>
  <w:style w:type="paragraph" w:styleId="Heading2">
    <w:name w:val="heading 2"/>
    <w:basedOn w:val="Normal"/>
    <w:next w:val="Normal"/>
    <w:qFormat/>
    <w:pPr>
      <w:keepNext w:val="true"/>
      <w:numPr>
        <w:ilvl w:val="1"/>
        <w:numId w:val="1"/>
      </w:numPr>
      <w:jc w:val="both"/>
      <w:outlineLvl w:val="1"/>
    </w:pPr>
    <w:rPr>
      <w:rFonts w:ascii="Arial" w:hAnsi="Arial" w:eastAsia="Arial" w:cs="Arial"/>
      <w:sz w:val="24"/>
      <w:szCs w:val="24"/>
    </w:rPr>
  </w:style>
  <w:style w:type="paragraph" w:styleId="Heading3">
    <w:name w:val="heading 3"/>
    <w:basedOn w:val="Normal"/>
    <w:next w:val="Normal"/>
    <w:qFormat/>
    <w:pPr>
      <w:keepNext w:val="true"/>
      <w:numPr>
        <w:ilvl w:val="2"/>
        <w:numId w:val="1"/>
      </w:numPr>
      <w:jc w:val="center"/>
      <w:outlineLvl w:val="2"/>
    </w:pPr>
    <w:rPr>
      <w:b/>
      <w:bCs/>
      <w:sz w:val="24"/>
      <w:szCs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Return">
    <w:name w:val="envelope return"/>
    <w:basedOn w:val="Normal"/>
    <w:pPr/>
    <w:rPr>
      <w:rFonts w:ascii="Arial" w:hAnsi="Arial" w:eastAsia="Arial"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2002-01-30T19:52:00Z</dcterms:created>
  <dc:creator>Enron</dc:creator>
  <dc:description/>
  <dc:language>en-CA</dc:language>
  <cp:lastModifiedBy>csebest2</cp:lastModifiedBy>
  <cp:lastPrinted>2002-01-30T16:21:00Z</cp:lastPrinted>
  <dcterms:modified xsi:type="dcterms:W3CDTF">2002-01-30T19:52:00Z</dcterms:modified>
  <cp:revision>2</cp:revision>
  <dc:subject/>
  <dc:title>January 24,2000</dc:title>
</cp:coreProperties>
</file>